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7F025" w14:textId="77777777" w:rsidR="00DC3F08" w:rsidRPr="009733E0" w:rsidRDefault="00DC3F08" w:rsidP="006654BB">
      <w:pPr>
        <w:jc w:val="both"/>
        <w:rPr>
          <w:rFonts w:ascii="Lato" w:hAnsi="Lato"/>
        </w:rPr>
      </w:pPr>
      <w:r w:rsidRPr="009733E0">
        <w:rPr>
          <w:rFonts w:ascii="Lato" w:eastAsia="Arial Unicode MS" w:hAnsi="Lato" w:cs="Arial"/>
          <w:b/>
          <w:noProof/>
        </w:rPr>
        <w:drawing>
          <wp:inline distT="0" distB="0" distL="0" distR="0" wp14:anchorId="19F34CFB" wp14:editId="751E4045">
            <wp:extent cx="2025952" cy="51054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025952" cy="510540"/>
                    </a:xfrm>
                    <a:prstGeom prst="rect">
                      <a:avLst/>
                    </a:prstGeom>
                    <a:noFill/>
                    <a:ln>
                      <a:noFill/>
                    </a:ln>
                  </pic:spPr>
                </pic:pic>
              </a:graphicData>
            </a:graphic>
          </wp:inline>
        </w:drawing>
      </w:r>
    </w:p>
    <w:p w14:paraId="1B547FB4" w14:textId="77777777" w:rsidR="00DC3F08" w:rsidRPr="009733E0" w:rsidRDefault="00DC3F08" w:rsidP="006654BB">
      <w:pPr>
        <w:jc w:val="both"/>
        <w:rPr>
          <w:rFonts w:ascii="Lato" w:hAnsi="Lato"/>
        </w:rPr>
      </w:pPr>
    </w:p>
    <w:p w14:paraId="13B3E214" w14:textId="44228617" w:rsidR="00DC3F08" w:rsidRPr="009733E0" w:rsidRDefault="00DC3F08" w:rsidP="006654BB">
      <w:pPr>
        <w:shd w:val="clear" w:color="auto" w:fill="D9D9D9"/>
        <w:autoSpaceDE w:val="0"/>
        <w:autoSpaceDN w:val="0"/>
        <w:adjustRightInd w:val="0"/>
        <w:spacing w:after="0"/>
        <w:jc w:val="both"/>
        <w:rPr>
          <w:rFonts w:ascii="Lato" w:eastAsia="Times New Roman" w:hAnsi="Lato" w:cs="Arial"/>
          <w:b/>
          <w:bCs/>
          <w:kern w:val="32"/>
          <w:u w:val="single"/>
        </w:rPr>
      </w:pPr>
      <w:r w:rsidRPr="009733E0">
        <w:rPr>
          <w:rFonts w:ascii="Lato" w:hAnsi="Lato" w:cs="Arial"/>
          <w:b/>
          <w:u w:val="single"/>
        </w:rPr>
        <w:t>EXPRESSION OF INTEREST</w:t>
      </w:r>
      <w:r w:rsidR="00465B52" w:rsidRPr="009733E0">
        <w:rPr>
          <w:rFonts w:ascii="Lato" w:hAnsi="Lato" w:cs="Arial"/>
          <w:b/>
          <w:u w:val="single"/>
        </w:rPr>
        <w:t xml:space="preserve"> </w:t>
      </w:r>
      <w:r w:rsidR="007B56B8" w:rsidRPr="009733E0">
        <w:rPr>
          <w:rFonts w:ascii="Lato" w:hAnsi="Lato" w:cs="Arial"/>
          <w:b/>
          <w:u w:val="single"/>
        </w:rPr>
        <w:t>(EOI)</w:t>
      </w:r>
      <w:r w:rsidRPr="009733E0">
        <w:rPr>
          <w:rFonts w:ascii="Lato" w:hAnsi="Lato" w:cs="Arial"/>
          <w:b/>
          <w:u w:val="single"/>
        </w:rPr>
        <w:t xml:space="preserve"> </w:t>
      </w:r>
    </w:p>
    <w:p w14:paraId="76F4C9E4" w14:textId="77777777" w:rsidR="00DC3F08" w:rsidRPr="009733E0" w:rsidRDefault="00DC3F08" w:rsidP="006654BB">
      <w:pPr>
        <w:spacing w:after="0" w:line="240" w:lineRule="auto"/>
        <w:jc w:val="both"/>
        <w:rPr>
          <w:rFonts w:ascii="Lato" w:eastAsia="Times New Roman" w:hAnsi="Lato" w:cs="Arial"/>
          <w:b/>
          <w:bCs/>
          <w:color w:val="000000"/>
          <w:spacing w:val="6"/>
          <w:kern w:val="32"/>
        </w:rPr>
      </w:pPr>
    </w:p>
    <w:tbl>
      <w:tblPr>
        <w:tblW w:w="9355" w:type="dxa"/>
        <w:tblLook w:val="04A0" w:firstRow="1" w:lastRow="0" w:firstColumn="1" w:lastColumn="0" w:noHBand="0" w:noVBand="1"/>
      </w:tblPr>
      <w:tblGrid>
        <w:gridCol w:w="971"/>
        <w:gridCol w:w="2089"/>
        <w:gridCol w:w="6468"/>
      </w:tblGrid>
      <w:tr w:rsidR="00B028AA" w:rsidRPr="009733E0" w14:paraId="16380290" w14:textId="77777777" w:rsidTr="009E50F7">
        <w:trPr>
          <w:trHeight w:val="290"/>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9733E0" w:rsidRDefault="00B028AA" w:rsidP="006654BB">
            <w:pPr>
              <w:jc w:val="both"/>
              <w:rPr>
                <w:rFonts w:ascii="Lato" w:hAnsi="Lato" w:cs="Arial"/>
                <w:b/>
                <w:bCs/>
                <w:color w:val="000000"/>
              </w:rPr>
            </w:pPr>
            <w:r w:rsidRPr="009733E0">
              <w:rPr>
                <w:rFonts w:ascii="Lato" w:hAnsi="Lato" w:cs="Arial"/>
                <w:b/>
                <w:bCs/>
                <w:color w:val="000000"/>
              </w:rPr>
              <w:t>S. No</w:t>
            </w:r>
          </w:p>
        </w:tc>
        <w:tc>
          <w:tcPr>
            <w:tcW w:w="1916"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9733E0" w:rsidRDefault="00B028AA" w:rsidP="006654BB">
            <w:pPr>
              <w:jc w:val="both"/>
              <w:rPr>
                <w:rFonts w:ascii="Lato" w:hAnsi="Lato" w:cs="Arial"/>
                <w:b/>
                <w:bCs/>
                <w:color w:val="000000"/>
              </w:rPr>
            </w:pPr>
            <w:r w:rsidRPr="009733E0">
              <w:rPr>
                <w:rFonts w:ascii="Lato" w:hAnsi="Lato" w:cs="Arial"/>
                <w:b/>
                <w:bCs/>
                <w:color w:val="000000"/>
              </w:rPr>
              <w:t>TENDER NO.</w:t>
            </w:r>
          </w:p>
        </w:tc>
        <w:tc>
          <w:tcPr>
            <w:tcW w:w="646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9733E0" w:rsidRDefault="00B028AA" w:rsidP="006654BB">
            <w:pPr>
              <w:jc w:val="both"/>
              <w:rPr>
                <w:rFonts w:ascii="Lato" w:hAnsi="Lato" w:cs="Arial"/>
                <w:b/>
                <w:bCs/>
                <w:color w:val="000000"/>
              </w:rPr>
            </w:pPr>
            <w:r w:rsidRPr="009733E0">
              <w:rPr>
                <w:rFonts w:ascii="Lato" w:hAnsi="Lato" w:cs="Arial"/>
                <w:b/>
                <w:bCs/>
                <w:color w:val="000000"/>
              </w:rPr>
              <w:t>DESCRIPTION</w:t>
            </w:r>
          </w:p>
        </w:tc>
      </w:tr>
      <w:tr w:rsidR="00B028AA" w:rsidRPr="009733E0" w14:paraId="56F9D1BB" w14:textId="77777777" w:rsidTr="009E50F7">
        <w:trPr>
          <w:trHeight w:val="580"/>
        </w:trPr>
        <w:tc>
          <w:tcPr>
            <w:tcW w:w="971"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9733E0" w:rsidRDefault="00B028AA" w:rsidP="006654BB">
            <w:pPr>
              <w:jc w:val="both"/>
              <w:rPr>
                <w:rFonts w:ascii="Lato" w:hAnsi="Lato" w:cs="Arial"/>
                <w:b/>
                <w:color w:val="000000"/>
              </w:rPr>
            </w:pPr>
            <w:r w:rsidRPr="009733E0">
              <w:rPr>
                <w:rFonts w:ascii="Lato" w:hAnsi="Lato" w:cs="Arial"/>
                <w:b/>
                <w:color w:val="000000"/>
              </w:rPr>
              <w:t>1</w:t>
            </w:r>
          </w:p>
        </w:tc>
        <w:tc>
          <w:tcPr>
            <w:tcW w:w="1916" w:type="dxa"/>
            <w:tcBorders>
              <w:top w:val="nil"/>
              <w:left w:val="nil"/>
              <w:bottom w:val="single" w:sz="4" w:space="0" w:color="auto"/>
              <w:right w:val="single" w:sz="4" w:space="0" w:color="auto"/>
            </w:tcBorders>
            <w:shd w:val="clear" w:color="auto" w:fill="auto"/>
            <w:noWrap/>
            <w:hideMark/>
          </w:tcPr>
          <w:p w14:paraId="55F2DBAF" w14:textId="79A7EC4D" w:rsidR="00B028AA" w:rsidRPr="009733E0" w:rsidRDefault="00947EA1" w:rsidP="006654BB">
            <w:pPr>
              <w:jc w:val="both"/>
              <w:rPr>
                <w:rFonts w:ascii="Lato" w:hAnsi="Lato" w:cs="Arial"/>
                <w:b/>
                <w:color w:val="000000"/>
              </w:rPr>
            </w:pPr>
            <w:r w:rsidRPr="00BB59DE">
              <w:rPr>
                <w:rFonts w:ascii="Lato" w:hAnsi="Lato" w:cs="Arial"/>
                <w:b/>
                <w:color w:val="000000"/>
              </w:rPr>
              <w:t>WVSOM</w:t>
            </w:r>
            <w:r w:rsidR="00B028AA" w:rsidRPr="00BB59DE">
              <w:rPr>
                <w:rFonts w:ascii="Lato" w:hAnsi="Lato" w:cs="Arial"/>
                <w:b/>
                <w:color w:val="000000"/>
              </w:rPr>
              <w:t>/</w:t>
            </w:r>
            <w:r w:rsidR="00BB59DE">
              <w:rPr>
                <w:rFonts w:ascii="Lato" w:hAnsi="Lato" w:cs="Arial"/>
                <w:b/>
                <w:color w:val="000000"/>
              </w:rPr>
              <w:t>0</w:t>
            </w:r>
            <w:r w:rsidR="00F66A18">
              <w:rPr>
                <w:rFonts w:ascii="Lato" w:hAnsi="Lato" w:cs="Arial"/>
                <w:b/>
                <w:color w:val="000000"/>
              </w:rPr>
              <w:t>7</w:t>
            </w:r>
            <w:r w:rsidR="00B028AA" w:rsidRPr="00BB59DE">
              <w:rPr>
                <w:rFonts w:ascii="Lato" w:hAnsi="Lato" w:cs="Arial"/>
                <w:b/>
                <w:color w:val="000000"/>
              </w:rPr>
              <w:t>/FY2</w:t>
            </w:r>
            <w:r w:rsidR="00BB59DE">
              <w:rPr>
                <w:rFonts w:ascii="Lato" w:hAnsi="Lato" w:cs="Arial"/>
                <w:b/>
                <w:color w:val="000000"/>
              </w:rPr>
              <w:t>6</w:t>
            </w:r>
          </w:p>
        </w:tc>
        <w:tc>
          <w:tcPr>
            <w:tcW w:w="6468" w:type="dxa"/>
            <w:tcBorders>
              <w:top w:val="nil"/>
              <w:left w:val="nil"/>
              <w:bottom w:val="single" w:sz="4" w:space="0" w:color="auto"/>
              <w:right w:val="single" w:sz="4" w:space="0" w:color="auto"/>
            </w:tcBorders>
            <w:shd w:val="clear" w:color="auto" w:fill="auto"/>
            <w:hideMark/>
          </w:tcPr>
          <w:p w14:paraId="73607873" w14:textId="68A494FB" w:rsidR="00B028AA" w:rsidRPr="009733E0" w:rsidRDefault="004B2711" w:rsidP="006654BB">
            <w:pPr>
              <w:jc w:val="both"/>
              <w:rPr>
                <w:rFonts w:ascii="Lato" w:hAnsi="Lato" w:cs="Arial"/>
                <w:b/>
                <w:color w:val="000000"/>
              </w:rPr>
            </w:pPr>
            <w:r w:rsidRPr="004B2711">
              <w:rPr>
                <w:rFonts w:ascii="Lato" w:eastAsia="Lato" w:hAnsi="Lato" w:cs="Lato"/>
                <w:b/>
                <w:bCs/>
              </w:rPr>
              <w:t>PREVENTIVE MAINTENANCE AND CALIBRATION OF TB LABORATORY EQUIPMENT AT THE NATIONAL TB REFERENCE LABORATORIES</w:t>
            </w:r>
          </w:p>
        </w:tc>
      </w:tr>
    </w:tbl>
    <w:p w14:paraId="19E0B8BD" w14:textId="77777777" w:rsidR="007B56B8" w:rsidRPr="009733E0" w:rsidRDefault="007B56B8" w:rsidP="006654BB">
      <w:pPr>
        <w:spacing w:after="0" w:line="240" w:lineRule="auto"/>
        <w:jc w:val="both"/>
        <w:rPr>
          <w:rFonts w:ascii="Lato" w:hAnsi="Lato" w:cs="Arial"/>
          <w:color w:val="000000"/>
        </w:rPr>
      </w:pPr>
    </w:p>
    <w:p w14:paraId="71C98E6C" w14:textId="77777777" w:rsidR="00F625BE" w:rsidRPr="004C5058" w:rsidRDefault="00F625BE" w:rsidP="00F625BE">
      <w:pPr>
        <w:jc w:val="both"/>
        <w:rPr>
          <w:rFonts w:ascii="Lato" w:eastAsia="Osaka" w:hAnsi="Lato"/>
          <w:b/>
          <w:bCs/>
        </w:rPr>
      </w:pPr>
      <w:r w:rsidRPr="004C5058">
        <w:rPr>
          <w:rFonts w:ascii="Lato" w:eastAsia="Osaka" w:hAnsi="Lato"/>
          <w:b/>
          <w:bCs/>
        </w:rPr>
        <w:t>Overview and Background</w:t>
      </w:r>
    </w:p>
    <w:p w14:paraId="5C69AEF5" w14:textId="2AF9C724" w:rsidR="00F625BE" w:rsidRPr="004C5058" w:rsidRDefault="00F625BE" w:rsidP="00F625BE">
      <w:pPr>
        <w:jc w:val="both"/>
        <w:rPr>
          <w:rFonts w:ascii="Lato" w:eastAsia="Osaka" w:hAnsi="Lato"/>
        </w:rPr>
      </w:pPr>
      <w:r w:rsidRPr="004C5058">
        <w:rPr>
          <w:rFonts w:ascii="Lato" w:eastAsia="Osaka" w:hAnsi="Lato"/>
        </w:rPr>
        <w:t xml:space="preserve">World Vision is a global humanitarian </w:t>
      </w:r>
      <w:r w:rsidRPr="004C5058">
        <w:rPr>
          <w:rFonts w:ascii="Lato" w:eastAsia="Osaka" w:hAnsi="Lato"/>
        </w:rPr>
        <w:t>organization</w:t>
      </w:r>
      <w:r w:rsidRPr="004C5058">
        <w:rPr>
          <w:rFonts w:ascii="Lato" w:eastAsia="Osaka" w:hAnsi="Lato"/>
        </w:rPr>
        <w:t xml:space="preserve"> dedicated to improving the lives of vulnerable children, families, and communities by providing access to healthcare, food security, education, and clean water. In Somalia, World Vision operates various health and humanitarian programs, focusing on health assessments, maternal and child health, nutrition, and water and sanitation services. </w:t>
      </w:r>
    </w:p>
    <w:p w14:paraId="3FB30A7C" w14:textId="77777777" w:rsidR="00F625BE" w:rsidRPr="004C5058" w:rsidRDefault="00F625BE" w:rsidP="00F625BE">
      <w:pPr>
        <w:jc w:val="both"/>
        <w:rPr>
          <w:rFonts w:ascii="Lato" w:eastAsia="Osaka" w:hAnsi="Lato"/>
        </w:rPr>
      </w:pPr>
      <w:r w:rsidRPr="004C5058">
        <w:rPr>
          <w:rFonts w:ascii="Lato" w:eastAsia="Osaka" w:hAnsi="Lato"/>
        </w:rPr>
        <w:t>As the principal recipient of the Global Fund in Somalia, World Vision also supports the National TB Reference Laboratories in Hargeisa, Mogadishu, and Garowe. A key aspect of delivering quality healthcare is ensuring the optimal functioning of medical and laboratory equipment. To this end, World Vision continuously supports the monitoring, maintaining, and calibrating of medical equipment to guarantee accurate and reliable results.</w:t>
      </w:r>
    </w:p>
    <w:p w14:paraId="45EE7CA4" w14:textId="77777777" w:rsidR="00F625BE" w:rsidRPr="004C5058" w:rsidRDefault="00F625BE" w:rsidP="00F625BE">
      <w:pPr>
        <w:jc w:val="both"/>
        <w:rPr>
          <w:rFonts w:ascii="Lato" w:eastAsia="Osaka" w:hAnsi="Lato"/>
        </w:rPr>
      </w:pPr>
      <w:r w:rsidRPr="004C5058">
        <w:rPr>
          <w:rFonts w:ascii="Lato" w:eastAsia="Osaka" w:hAnsi="Lato"/>
        </w:rPr>
        <w:t>This Terms of Reference (TOR) outlines the requirements for preventive maintenance and calibration services for equipment at the National TB reference laboratories in Mogadishu, Hargeisa and Garowe.</w:t>
      </w:r>
    </w:p>
    <w:p w14:paraId="01D764C2" w14:textId="77777777" w:rsidR="00F625BE" w:rsidRPr="004C5058" w:rsidRDefault="00F625BE" w:rsidP="00F625BE">
      <w:pPr>
        <w:rPr>
          <w:rFonts w:ascii="Lato" w:eastAsia="Osaka" w:hAnsi="Lato"/>
          <w:b/>
          <w:bCs/>
        </w:rPr>
      </w:pPr>
      <w:r w:rsidRPr="004C5058">
        <w:rPr>
          <w:rFonts w:ascii="Lato" w:eastAsia="Osaka" w:hAnsi="Lato"/>
          <w:b/>
          <w:bCs/>
        </w:rPr>
        <w:t>Purpose</w:t>
      </w:r>
    </w:p>
    <w:p w14:paraId="3F410AD1" w14:textId="77777777" w:rsidR="00F625BE" w:rsidRPr="004C5058" w:rsidRDefault="00F625BE" w:rsidP="00F625BE">
      <w:pPr>
        <w:rPr>
          <w:rFonts w:ascii="Lato" w:eastAsia="Osaka" w:hAnsi="Lato"/>
        </w:rPr>
      </w:pPr>
      <w:r w:rsidRPr="004C5058">
        <w:rPr>
          <w:rFonts w:ascii="Lato" w:eastAsia="Osaka" w:hAnsi="Lato"/>
        </w:rPr>
        <w:t>The objective is to engage a qualified vendor to provide preventive maintenance and calibration services for medical and laboratory equipment. The vendor will ensure the equipment is functioning correctly, is safe to use, and delivers accurate results.</w:t>
      </w:r>
    </w:p>
    <w:p w14:paraId="2D979A8B" w14:textId="77777777" w:rsidR="00F625BE" w:rsidRPr="004C5058" w:rsidRDefault="00F625BE" w:rsidP="00F625BE">
      <w:pPr>
        <w:rPr>
          <w:rFonts w:ascii="Lato" w:eastAsia="Osaka" w:hAnsi="Lato"/>
          <w:b/>
          <w:bCs/>
        </w:rPr>
      </w:pPr>
      <w:r w:rsidRPr="004C5058">
        <w:rPr>
          <w:rFonts w:ascii="Lato" w:eastAsia="Osaka" w:hAnsi="Lato"/>
          <w:b/>
          <w:bCs/>
        </w:rPr>
        <w:t>Scope of Services</w:t>
      </w:r>
    </w:p>
    <w:p w14:paraId="2C108CB5" w14:textId="77777777" w:rsidR="00F625BE" w:rsidRPr="004C5058" w:rsidRDefault="00F625BE" w:rsidP="00F625BE">
      <w:pPr>
        <w:rPr>
          <w:rFonts w:ascii="Lato" w:eastAsia="Osaka" w:hAnsi="Lato"/>
        </w:rPr>
      </w:pPr>
      <w:r w:rsidRPr="004C5058">
        <w:rPr>
          <w:rFonts w:ascii="Lato" w:eastAsia="Osaka" w:hAnsi="Lato"/>
        </w:rPr>
        <w:t>The selected vendor will be responsible for performing the following tasks:</w:t>
      </w:r>
    </w:p>
    <w:p w14:paraId="11F2B6CD"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Inspection and Initial Assessment:</w:t>
      </w:r>
      <w:r w:rsidRPr="004C5058">
        <w:rPr>
          <w:rFonts w:ascii="Lato" w:eastAsia="Osaka" w:hAnsi="Lato"/>
        </w:rPr>
        <w:br/>
        <w:t>Conduct a thorough inspection of the equipment to identify any necessary repairs, and provide an initial condition report of each piece of equipment.</w:t>
      </w:r>
    </w:p>
    <w:p w14:paraId="275B8F0C"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Calibration:</w:t>
      </w:r>
      <w:r w:rsidRPr="004C5058">
        <w:rPr>
          <w:rFonts w:ascii="Lato" w:eastAsia="Osaka" w:hAnsi="Lato"/>
        </w:rPr>
        <w:br/>
        <w:t>Perform calibration of medical and laboratory equipment to ensure it provides accurate and reliable results according to industry standards.</w:t>
      </w:r>
    </w:p>
    <w:p w14:paraId="7E8B7827"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Preventive Maintenance:</w:t>
      </w:r>
      <w:r w:rsidRPr="004C5058">
        <w:rPr>
          <w:rFonts w:ascii="Lato" w:eastAsia="Osaka" w:hAnsi="Lato"/>
        </w:rPr>
        <w:br/>
        <w:t xml:space="preserve">Carry out preventive maintenance on all equipment during the calibration procedure and </w:t>
      </w:r>
      <w:r w:rsidRPr="004C5058">
        <w:rPr>
          <w:rFonts w:ascii="Lato" w:eastAsia="Osaka" w:hAnsi="Lato"/>
        </w:rPr>
        <w:lastRenderedPageBreak/>
        <w:t>at a follow-up session six months later. Maintenance should include cleaning, lubrication, part replacements, and any necessary adjustments.</w:t>
      </w:r>
    </w:p>
    <w:p w14:paraId="478D643B"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Reporting:</w:t>
      </w:r>
      <w:r w:rsidRPr="004C5058">
        <w:rPr>
          <w:rFonts w:ascii="Lato" w:eastAsia="Osaka" w:hAnsi="Lato"/>
        </w:rPr>
        <w:br/>
        <w:t>Issue detailed service reports for each piece of equipment, including calibration certificates, maintenance activities, and any repairs completed. Reports should comply with ISO 9001 or other relevant documentation standards.</w:t>
      </w:r>
    </w:p>
    <w:p w14:paraId="164B1336"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Labeling and Stickers:</w:t>
      </w:r>
      <w:r w:rsidRPr="004C5058">
        <w:rPr>
          <w:rFonts w:ascii="Lato" w:eastAsia="Osaka" w:hAnsi="Lato"/>
        </w:rPr>
        <w:br/>
        <w:t>Apply calibration and maintenance stickers to each piece of equipment. These stickers should be durable, waterproof, and spill-proof, containing the service date and the next scheduled maintenance date.</w:t>
      </w:r>
    </w:p>
    <w:p w14:paraId="592CC80C"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Inventory Management:</w:t>
      </w:r>
      <w:r w:rsidRPr="004C5058">
        <w:rPr>
          <w:rFonts w:ascii="Lato" w:eastAsia="Osaka" w:hAnsi="Lato"/>
        </w:rPr>
        <w:br/>
        <w:t>Submit an updated electronic list of all calibrated medical equipment, detailing the equipment type, manufacturer, model, serial number, and condition.</w:t>
      </w:r>
    </w:p>
    <w:p w14:paraId="26034E80"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Onsite Service:</w:t>
      </w:r>
      <w:r w:rsidRPr="004C5058">
        <w:rPr>
          <w:rFonts w:ascii="Lato" w:eastAsia="Osaka" w:hAnsi="Lato"/>
        </w:rPr>
        <w:br/>
        <w:t xml:space="preserve">All services must be performed onsite at the health facilities. No equipment should be removed from the premises unless authorized by </w:t>
      </w:r>
      <w:proofErr w:type="spellStart"/>
      <w:r w:rsidRPr="004C5058">
        <w:rPr>
          <w:rFonts w:ascii="Lato" w:eastAsia="Osaka" w:hAnsi="Lato"/>
        </w:rPr>
        <w:t>MoH</w:t>
      </w:r>
      <w:proofErr w:type="spellEnd"/>
      <w:r w:rsidRPr="004C5058">
        <w:rPr>
          <w:rFonts w:ascii="Lato" w:eastAsia="Osaka" w:hAnsi="Lato"/>
        </w:rPr>
        <w:t>/NTP/NTRL.</w:t>
      </w:r>
    </w:p>
    <w:p w14:paraId="67E74BAE" w14:textId="77777777" w:rsidR="00F625BE" w:rsidRPr="004C5058" w:rsidRDefault="00F625BE" w:rsidP="00F625BE">
      <w:pPr>
        <w:numPr>
          <w:ilvl w:val="0"/>
          <w:numId w:val="44"/>
        </w:numPr>
        <w:spacing w:after="0" w:line="240" w:lineRule="auto"/>
        <w:rPr>
          <w:rFonts w:ascii="Lato" w:eastAsia="Osaka" w:hAnsi="Lato"/>
        </w:rPr>
      </w:pPr>
      <w:r w:rsidRPr="004C5058">
        <w:rPr>
          <w:rFonts w:ascii="Lato" w:eastAsia="Osaka" w:hAnsi="Lato"/>
        </w:rPr>
        <w:t>Non-Functional Equipment:</w:t>
      </w:r>
      <w:r w:rsidRPr="004C5058">
        <w:rPr>
          <w:rFonts w:ascii="Lato" w:eastAsia="Osaka" w:hAnsi="Lato"/>
        </w:rPr>
        <w:br/>
        <w:t>Submit a separate report of any equipment found to be non-functional or beyond repair before calibration.</w:t>
      </w:r>
    </w:p>
    <w:p w14:paraId="2F4F417B" w14:textId="77777777" w:rsidR="00F625BE" w:rsidRPr="004C5058" w:rsidRDefault="00F625BE" w:rsidP="00F625BE">
      <w:pPr>
        <w:ind w:left="720"/>
        <w:rPr>
          <w:rFonts w:ascii="Lato" w:eastAsia="Osaka" w:hAnsi="Lato"/>
        </w:rPr>
      </w:pPr>
    </w:p>
    <w:p w14:paraId="0E8FDB69" w14:textId="77777777" w:rsidR="00F625BE" w:rsidRPr="004C5058" w:rsidRDefault="00F625BE" w:rsidP="00F625BE">
      <w:pPr>
        <w:rPr>
          <w:rFonts w:ascii="Lato" w:eastAsia="Osaka" w:hAnsi="Lato"/>
          <w:b/>
          <w:bCs/>
        </w:rPr>
      </w:pPr>
      <w:r w:rsidRPr="004C5058">
        <w:rPr>
          <w:rFonts w:ascii="Lato" w:eastAsia="Osaka" w:hAnsi="Lato"/>
          <w:b/>
          <w:bCs/>
        </w:rPr>
        <w:t>Expertise Required</w:t>
      </w:r>
    </w:p>
    <w:p w14:paraId="3FE108D0" w14:textId="77777777" w:rsidR="00F625BE" w:rsidRPr="004C5058" w:rsidRDefault="00F625BE" w:rsidP="00F625BE">
      <w:pPr>
        <w:rPr>
          <w:rFonts w:ascii="Lato" w:eastAsia="Osaka" w:hAnsi="Lato"/>
        </w:rPr>
      </w:pPr>
      <w:r w:rsidRPr="004C5058">
        <w:rPr>
          <w:rFonts w:ascii="Lato" w:eastAsia="Osaka" w:hAnsi="Lato"/>
        </w:rPr>
        <w:t>The vendor must meet the following qualifications:</w:t>
      </w:r>
    </w:p>
    <w:p w14:paraId="371BD9D9" w14:textId="77777777" w:rsidR="00F625BE" w:rsidRPr="004C5058" w:rsidRDefault="00F625BE" w:rsidP="00F625BE">
      <w:pPr>
        <w:pStyle w:val="ListParagraph"/>
        <w:numPr>
          <w:ilvl w:val="0"/>
          <w:numId w:val="45"/>
        </w:numPr>
        <w:spacing w:after="0" w:line="240" w:lineRule="auto"/>
        <w:rPr>
          <w:rFonts w:ascii="Lato" w:eastAsia="Osaka" w:hAnsi="Lato"/>
        </w:rPr>
      </w:pPr>
      <w:r w:rsidRPr="004C5058">
        <w:rPr>
          <w:rFonts w:ascii="Lato" w:eastAsia="Osaka" w:hAnsi="Lato"/>
        </w:rPr>
        <w:t>Registration and Tax Compliance</w:t>
      </w:r>
      <w:r w:rsidRPr="004C5058">
        <w:rPr>
          <w:rFonts w:ascii="Lato" w:eastAsia="Osaka" w:hAnsi="Lato"/>
          <w:b/>
          <w:bCs/>
        </w:rPr>
        <w:t>:</w:t>
      </w:r>
      <w:r w:rsidRPr="004C5058">
        <w:rPr>
          <w:rFonts w:ascii="Lato" w:eastAsia="Osaka" w:hAnsi="Lato"/>
        </w:rPr>
        <w:br/>
        <w:t>The vendor must be a registered business entity (must submit certificate of registration) and in good standing with the Federal Government of Somalia’s tax authority, with proof of valid tax identification and recent tax clearance.</w:t>
      </w:r>
    </w:p>
    <w:p w14:paraId="42811BD8" w14:textId="6201F094" w:rsidR="00F625BE" w:rsidRPr="004C5058" w:rsidRDefault="00F625BE" w:rsidP="00F625BE">
      <w:pPr>
        <w:numPr>
          <w:ilvl w:val="0"/>
          <w:numId w:val="45"/>
        </w:numPr>
        <w:spacing w:after="0" w:line="240" w:lineRule="auto"/>
        <w:rPr>
          <w:rFonts w:ascii="Lato" w:eastAsia="Osaka" w:hAnsi="Lato"/>
        </w:rPr>
      </w:pPr>
      <w:r w:rsidRPr="004C5058">
        <w:rPr>
          <w:rFonts w:ascii="Lato" w:eastAsia="Osaka" w:hAnsi="Lato"/>
        </w:rPr>
        <w:t>Accreditation:</w:t>
      </w:r>
      <w:r w:rsidRPr="004C5058">
        <w:rPr>
          <w:rFonts w:ascii="Lato" w:eastAsia="Osaka" w:hAnsi="Lato"/>
        </w:rPr>
        <w:br/>
        <w:t xml:space="preserve">The vendor must be accredited by relevant body from Ministry of Health federal government of </w:t>
      </w:r>
      <w:r w:rsidR="004675C6" w:rsidRPr="004C5058">
        <w:rPr>
          <w:rFonts w:ascii="Lato" w:eastAsia="Osaka" w:hAnsi="Lato"/>
        </w:rPr>
        <w:t>Somalia</w:t>
      </w:r>
      <w:r w:rsidRPr="004C5058">
        <w:rPr>
          <w:rFonts w:ascii="Lato" w:eastAsia="Osaka" w:hAnsi="Lato"/>
        </w:rPr>
        <w:t xml:space="preserve"> for medical equipment calibration and maintenance.</w:t>
      </w:r>
    </w:p>
    <w:p w14:paraId="6E160848" w14:textId="77777777" w:rsidR="00F625BE" w:rsidRPr="004C5058" w:rsidRDefault="00F625BE" w:rsidP="00F625BE">
      <w:pPr>
        <w:numPr>
          <w:ilvl w:val="0"/>
          <w:numId w:val="45"/>
        </w:numPr>
        <w:spacing w:after="0" w:line="240" w:lineRule="auto"/>
        <w:rPr>
          <w:rFonts w:ascii="Lato" w:eastAsia="Osaka" w:hAnsi="Lato"/>
        </w:rPr>
      </w:pPr>
      <w:r w:rsidRPr="004C5058">
        <w:rPr>
          <w:rFonts w:ascii="Lato" w:eastAsia="Osaka" w:hAnsi="Lato"/>
        </w:rPr>
        <w:t>Certified Technicians:</w:t>
      </w:r>
      <w:r w:rsidRPr="004C5058">
        <w:rPr>
          <w:rFonts w:ascii="Lato" w:eastAsia="Osaka" w:hAnsi="Lato"/>
        </w:rPr>
        <w:br/>
        <w:t>The vendor must employ certified biomedical equipment Engineer who have experience in maintaining and calibrating medical equipment.</w:t>
      </w:r>
    </w:p>
    <w:p w14:paraId="5E4891B0" w14:textId="77777777" w:rsidR="00F625BE" w:rsidRPr="004C5058" w:rsidRDefault="00F625BE" w:rsidP="00F625BE">
      <w:pPr>
        <w:numPr>
          <w:ilvl w:val="0"/>
          <w:numId w:val="45"/>
        </w:numPr>
        <w:spacing w:after="0" w:line="240" w:lineRule="auto"/>
        <w:rPr>
          <w:rFonts w:ascii="Lato" w:eastAsia="Osaka" w:hAnsi="Lato"/>
        </w:rPr>
      </w:pPr>
      <w:r w:rsidRPr="004C5058">
        <w:rPr>
          <w:rFonts w:ascii="Lato" w:eastAsia="Osaka" w:hAnsi="Lato"/>
        </w:rPr>
        <w:t>Experience:</w:t>
      </w:r>
      <w:r w:rsidRPr="004C5058">
        <w:rPr>
          <w:rFonts w:ascii="Lato" w:eastAsia="Osaka" w:hAnsi="Lato"/>
        </w:rPr>
        <w:br/>
        <w:t>The vendor must have demonstrated experience in providing similar services to reputable healthcare organizations, preferably in humanitarian settings.</w:t>
      </w:r>
    </w:p>
    <w:p w14:paraId="2109FD8F" w14:textId="77777777" w:rsidR="00F625BE" w:rsidRPr="004C5058" w:rsidRDefault="00F625BE" w:rsidP="00F625BE">
      <w:pPr>
        <w:numPr>
          <w:ilvl w:val="0"/>
          <w:numId w:val="45"/>
        </w:numPr>
        <w:spacing w:after="0" w:line="240" w:lineRule="auto"/>
        <w:rPr>
          <w:rFonts w:ascii="Lato" w:eastAsia="Osaka" w:hAnsi="Lato"/>
        </w:rPr>
      </w:pPr>
      <w:r w:rsidRPr="004C5058">
        <w:rPr>
          <w:rFonts w:ascii="Lato" w:eastAsia="Osaka" w:hAnsi="Lato"/>
        </w:rPr>
        <w:t>Calibration Equipment:</w:t>
      </w:r>
      <w:r w:rsidRPr="004C5058">
        <w:rPr>
          <w:rFonts w:ascii="Lato" w:eastAsia="Osaka" w:hAnsi="Lato"/>
        </w:rPr>
        <w:br/>
        <w:t>The vendor must have access to calibrated test equipment required for troubleshooting, repairing, and validating medical and laboratory equipment.</w:t>
      </w:r>
    </w:p>
    <w:p w14:paraId="17510AA7" w14:textId="77777777" w:rsidR="00F625BE" w:rsidRPr="004C5058" w:rsidRDefault="00F625BE" w:rsidP="00F625BE">
      <w:pPr>
        <w:numPr>
          <w:ilvl w:val="0"/>
          <w:numId w:val="45"/>
        </w:numPr>
        <w:spacing w:after="0" w:line="240" w:lineRule="auto"/>
        <w:rPr>
          <w:rFonts w:ascii="Lato" w:eastAsia="Osaka" w:hAnsi="Lato"/>
        </w:rPr>
      </w:pPr>
      <w:r w:rsidRPr="004C5058">
        <w:rPr>
          <w:rFonts w:ascii="Lato" w:eastAsia="Osaka" w:hAnsi="Lato"/>
        </w:rPr>
        <w:t>Previous Projects:</w:t>
      </w:r>
      <w:r w:rsidRPr="004C5058">
        <w:rPr>
          <w:rFonts w:ascii="Lato" w:eastAsia="Osaka" w:hAnsi="Lato"/>
        </w:rPr>
        <w:br/>
        <w:t>Vendors with prior experience working with international organizations or healthcare institutions, particularly in low-resource settings, will be given preference.</w:t>
      </w:r>
    </w:p>
    <w:p w14:paraId="1B1268E2" w14:textId="77777777" w:rsidR="00F625BE" w:rsidRPr="004C5058" w:rsidRDefault="00F625BE" w:rsidP="00F625BE">
      <w:pPr>
        <w:ind w:left="720"/>
        <w:rPr>
          <w:rFonts w:ascii="Lato" w:eastAsia="Osaka" w:hAnsi="Lato"/>
          <w:b/>
          <w:bCs/>
        </w:rPr>
      </w:pPr>
    </w:p>
    <w:p w14:paraId="2C4E7321" w14:textId="77777777" w:rsidR="00F625BE" w:rsidRPr="004C5058" w:rsidRDefault="00F625BE" w:rsidP="00F625BE">
      <w:pPr>
        <w:rPr>
          <w:rFonts w:ascii="Lato" w:eastAsia="Osaka" w:hAnsi="Lato"/>
          <w:b/>
          <w:bCs/>
        </w:rPr>
      </w:pPr>
      <w:r w:rsidRPr="004C5058">
        <w:rPr>
          <w:rFonts w:ascii="Lato" w:eastAsia="Osaka" w:hAnsi="Lato"/>
          <w:b/>
          <w:bCs/>
        </w:rPr>
        <w:t>Service Schedule</w:t>
      </w:r>
    </w:p>
    <w:p w14:paraId="58A38856" w14:textId="77777777" w:rsidR="00F625BE" w:rsidRPr="004C5058" w:rsidRDefault="00F625BE" w:rsidP="00F625BE">
      <w:pPr>
        <w:rPr>
          <w:rFonts w:ascii="Lato" w:eastAsia="Osaka" w:hAnsi="Lato"/>
        </w:rPr>
      </w:pPr>
      <w:r w:rsidRPr="004C5058">
        <w:rPr>
          <w:rFonts w:ascii="Lato" w:eastAsia="Osaka" w:hAnsi="Lato"/>
        </w:rPr>
        <w:t xml:space="preserve">Preventive maintenance and calibration will be performed biannually or as required </w:t>
      </w:r>
    </w:p>
    <w:p w14:paraId="14B232CC" w14:textId="77777777" w:rsidR="00F625BE" w:rsidRPr="004C5058" w:rsidRDefault="00F625BE" w:rsidP="00F625BE">
      <w:pPr>
        <w:rPr>
          <w:rFonts w:ascii="Lato" w:eastAsia="Osaka" w:hAnsi="Lato"/>
        </w:rPr>
      </w:pPr>
    </w:p>
    <w:p w14:paraId="135370A3" w14:textId="77777777" w:rsidR="00F625BE" w:rsidRPr="004C5058" w:rsidRDefault="00F625BE" w:rsidP="00F625BE">
      <w:pPr>
        <w:numPr>
          <w:ilvl w:val="0"/>
          <w:numId w:val="46"/>
        </w:numPr>
        <w:spacing w:after="0" w:line="240" w:lineRule="auto"/>
        <w:rPr>
          <w:rFonts w:ascii="Lato" w:eastAsia="Osaka" w:hAnsi="Lato"/>
        </w:rPr>
      </w:pPr>
      <w:r w:rsidRPr="004C5058">
        <w:rPr>
          <w:rFonts w:ascii="Lato" w:eastAsia="Osaka" w:hAnsi="Lato"/>
        </w:rPr>
        <w:t>First Maintenance: During the initial calibration procedure.</w:t>
      </w:r>
    </w:p>
    <w:p w14:paraId="0314DD5C" w14:textId="77777777" w:rsidR="00F625BE" w:rsidRPr="004C5058" w:rsidRDefault="00F625BE" w:rsidP="00F625BE">
      <w:pPr>
        <w:numPr>
          <w:ilvl w:val="0"/>
          <w:numId w:val="46"/>
        </w:numPr>
        <w:spacing w:after="0" w:line="240" w:lineRule="auto"/>
        <w:rPr>
          <w:rFonts w:ascii="Lato" w:eastAsia="Osaka" w:hAnsi="Lato"/>
        </w:rPr>
      </w:pPr>
      <w:r w:rsidRPr="004C5058">
        <w:rPr>
          <w:rFonts w:ascii="Lato" w:eastAsia="Osaka" w:hAnsi="Lato"/>
        </w:rPr>
        <w:t>Second Maintenance: Six months or as required after the first service.</w:t>
      </w:r>
    </w:p>
    <w:p w14:paraId="527CB21E" w14:textId="77777777" w:rsidR="00F625BE" w:rsidRPr="004C5058" w:rsidRDefault="00F625BE" w:rsidP="00F625BE">
      <w:pPr>
        <w:ind w:left="720"/>
        <w:rPr>
          <w:rFonts w:ascii="Lato" w:eastAsia="Osaka" w:hAnsi="Lato"/>
        </w:rPr>
      </w:pPr>
    </w:p>
    <w:p w14:paraId="14C9FC60" w14:textId="77777777" w:rsidR="00F625BE" w:rsidRPr="004C5058" w:rsidRDefault="00F625BE" w:rsidP="00F625BE">
      <w:pPr>
        <w:rPr>
          <w:rFonts w:ascii="Lato" w:eastAsia="Osaka" w:hAnsi="Lato"/>
          <w:b/>
          <w:bCs/>
        </w:rPr>
      </w:pPr>
      <w:r w:rsidRPr="004C5058">
        <w:rPr>
          <w:rFonts w:ascii="Lato" w:eastAsia="Osaka" w:hAnsi="Lato"/>
          <w:b/>
          <w:bCs/>
        </w:rPr>
        <w:t>Deliverables</w:t>
      </w:r>
    </w:p>
    <w:p w14:paraId="23E3A054" w14:textId="77777777" w:rsidR="00F625BE" w:rsidRPr="004C5058" w:rsidRDefault="00F625BE" w:rsidP="00F625BE">
      <w:pPr>
        <w:numPr>
          <w:ilvl w:val="0"/>
          <w:numId w:val="47"/>
        </w:numPr>
        <w:spacing w:after="0" w:line="240" w:lineRule="auto"/>
        <w:rPr>
          <w:rFonts w:ascii="Lato" w:eastAsia="Osaka" w:hAnsi="Lato"/>
        </w:rPr>
      </w:pPr>
      <w:r w:rsidRPr="004C5058">
        <w:rPr>
          <w:rFonts w:ascii="Lato" w:eastAsia="Osaka" w:hAnsi="Lato"/>
        </w:rPr>
        <w:t>Calibration Certificates: For each piece of equipment calibrated, with details on the calibration process and outcomes.</w:t>
      </w:r>
    </w:p>
    <w:p w14:paraId="6E8A8BDB" w14:textId="77777777" w:rsidR="00F625BE" w:rsidRPr="004C5058" w:rsidRDefault="00F625BE" w:rsidP="00F625BE">
      <w:pPr>
        <w:numPr>
          <w:ilvl w:val="0"/>
          <w:numId w:val="47"/>
        </w:numPr>
        <w:spacing w:after="0" w:line="240" w:lineRule="auto"/>
        <w:rPr>
          <w:rFonts w:ascii="Lato" w:eastAsia="Osaka" w:hAnsi="Lato"/>
        </w:rPr>
      </w:pPr>
      <w:r w:rsidRPr="004C5058">
        <w:rPr>
          <w:rFonts w:ascii="Lato" w:eastAsia="Osaka" w:hAnsi="Lato"/>
        </w:rPr>
        <w:t>Preventive Maintenance Report: Summarizing the preventive maintenance activities and any repairs or adjustments made.</w:t>
      </w:r>
    </w:p>
    <w:p w14:paraId="54244C7D" w14:textId="77777777" w:rsidR="00F625BE" w:rsidRPr="004C5058" w:rsidRDefault="00F625BE" w:rsidP="00F625BE">
      <w:pPr>
        <w:numPr>
          <w:ilvl w:val="0"/>
          <w:numId w:val="47"/>
        </w:numPr>
        <w:spacing w:after="0" w:line="240" w:lineRule="auto"/>
        <w:rPr>
          <w:rFonts w:ascii="Lato" w:eastAsia="Osaka" w:hAnsi="Lato"/>
        </w:rPr>
      </w:pPr>
      <w:r w:rsidRPr="004C5058">
        <w:rPr>
          <w:rFonts w:ascii="Lato" w:eastAsia="Osaka" w:hAnsi="Lato"/>
        </w:rPr>
        <w:t>Inventory List: A Microsoft Excel list of all equipment serviced, including equipment type, manufacturer, model, serial number, and condition.</w:t>
      </w:r>
    </w:p>
    <w:p w14:paraId="0F974209" w14:textId="77777777" w:rsidR="00F625BE" w:rsidRPr="004C5058" w:rsidRDefault="00F625BE" w:rsidP="00F625BE">
      <w:pPr>
        <w:numPr>
          <w:ilvl w:val="0"/>
          <w:numId w:val="47"/>
        </w:numPr>
        <w:spacing w:after="0" w:line="240" w:lineRule="auto"/>
        <w:rPr>
          <w:rFonts w:ascii="Lato" w:eastAsia="Osaka" w:hAnsi="Lato"/>
        </w:rPr>
      </w:pPr>
      <w:r w:rsidRPr="004C5058">
        <w:rPr>
          <w:rFonts w:ascii="Lato" w:eastAsia="Osaka" w:hAnsi="Lato"/>
        </w:rPr>
        <w:t>Non-Functional Equipment Report: A separate list of any equipment found to be non-functional or in need of replacement.</w:t>
      </w:r>
    </w:p>
    <w:p w14:paraId="38CD18F4" w14:textId="77777777" w:rsidR="00F625BE" w:rsidRPr="004C5058" w:rsidRDefault="00F625BE" w:rsidP="00F625BE">
      <w:pPr>
        <w:ind w:left="720"/>
        <w:rPr>
          <w:rFonts w:ascii="Lato" w:eastAsia="Osaka" w:hAnsi="Lato"/>
        </w:rPr>
      </w:pPr>
    </w:p>
    <w:p w14:paraId="2F431FA2" w14:textId="77777777" w:rsidR="00F625BE" w:rsidRPr="004C5058" w:rsidRDefault="00F625BE" w:rsidP="00F625BE">
      <w:pPr>
        <w:rPr>
          <w:rFonts w:ascii="Lato" w:eastAsia="Osaka" w:hAnsi="Lato"/>
          <w:b/>
          <w:bCs/>
        </w:rPr>
      </w:pPr>
      <w:r w:rsidRPr="004C5058">
        <w:rPr>
          <w:rFonts w:ascii="Lato" w:eastAsia="Osaka" w:hAnsi="Lato"/>
          <w:b/>
          <w:bCs/>
        </w:rPr>
        <w:t>Location of Service</w:t>
      </w:r>
    </w:p>
    <w:p w14:paraId="3D215F45" w14:textId="0415C2AE" w:rsidR="00F625BE" w:rsidRPr="004C5058" w:rsidRDefault="00F625BE" w:rsidP="00F625BE">
      <w:pPr>
        <w:rPr>
          <w:rFonts w:ascii="Lato" w:eastAsia="Osaka" w:hAnsi="Lato"/>
        </w:rPr>
      </w:pPr>
      <w:r w:rsidRPr="004C5058">
        <w:rPr>
          <w:rFonts w:ascii="Lato" w:eastAsia="Osaka" w:hAnsi="Lato"/>
        </w:rPr>
        <w:t xml:space="preserve">All services will be conducted at the National TB reference laboratory in Mogadishu, Hargeisa and Garowe </w:t>
      </w:r>
    </w:p>
    <w:p w14:paraId="6610E131" w14:textId="77777777" w:rsidR="00C92C1D" w:rsidRPr="006C12BA" w:rsidRDefault="00C92C1D" w:rsidP="006654BB">
      <w:pPr>
        <w:spacing w:after="0" w:line="240" w:lineRule="auto"/>
        <w:jc w:val="both"/>
        <w:rPr>
          <w:rFonts w:ascii="Lato" w:eastAsia="Calibri" w:hAnsi="Lato" w:cs="Times New Roman"/>
          <w:b/>
          <w:bCs/>
        </w:rPr>
      </w:pPr>
    </w:p>
    <w:p w14:paraId="23535C63" w14:textId="431B2F04" w:rsidR="0019544F" w:rsidRPr="006C12BA" w:rsidRDefault="0019544F" w:rsidP="006654BB">
      <w:pPr>
        <w:spacing w:after="0" w:line="240" w:lineRule="auto"/>
        <w:jc w:val="both"/>
        <w:rPr>
          <w:rFonts w:ascii="Lato" w:eastAsia="Calibri" w:hAnsi="Lato" w:cs="Times New Roman"/>
        </w:rPr>
      </w:pPr>
      <w:r w:rsidRPr="006C12BA">
        <w:rPr>
          <w:rFonts w:ascii="Lato" w:eastAsia="Calibri" w:hAnsi="Lato" w:cs="Times New Roman"/>
          <w:b/>
          <w:bCs/>
        </w:rPr>
        <w:t>More Details to be provided in full ToR upon Expression of Interest.</w:t>
      </w:r>
    </w:p>
    <w:p w14:paraId="3D34E871" w14:textId="77777777" w:rsidR="0019544F" w:rsidRPr="006C12BA" w:rsidRDefault="0019544F" w:rsidP="006654BB">
      <w:pPr>
        <w:spacing w:after="0" w:line="240" w:lineRule="auto"/>
        <w:jc w:val="both"/>
        <w:rPr>
          <w:rFonts w:ascii="Lato" w:eastAsia="Calibri" w:hAnsi="Lato" w:cs="Times New Roman"/>
          <w:b/>
          <w:bCs/>
        </w:rPr>
      </w:pPr>
    </w:p>
    <w:p w14:paraId="500C077F" w14:textId="3F125432" w:rsidR="0019544F" w:rsidRPr="006C12BA" w:rsidRDefault="0019544F" w:rsidP="006654BB">
      <w:pPr>
        <w:spacing w:after="0" w:line="240" w:lineRule="auto"/>
        <w:jc w:val="both"/>
        <w:rPr>
          <w:rFonts w:ascii="Lato" w:eastAsia="Calibri" w:hAnsi="Lato" w:cs="Times New Roman"/>
        </w:rPr>
      </w:pPr>
      <w:r w:rsidRPr="006C12BA">
        <w:rPr>
          <w:rFonts w:ascii="Lato" w:eastAsia="Calibri" w:hAnsi="Lato" w:cs="Times New Roman"/>
          <w:b/>
          <w:bCs/>
        </w:rPr>
        <w:t>We hereby invite Expression of Interest from registered, approved and reputable consultants to provide above-named services to World Vision Somalia.</w:t>
      </w:r>
    </w:p>
    <w:p w14:paraId="00B6EDFD" w14:textId="77777777" w:rsidR="006441EB" w:rsidRPr="006C12BA" w:rsidRDefault="006441EB" w:rsidP="006654BB">
      <w:pPr>
        <w:keepNext/>
        <w:spacing w:after="0" w:line="240" w:lineRule="auto"/>
        <w:contextualSpacing/>
        <w:jc w:val="both"/>
        <w:outlineLvl w:val="0"/>
        <w:rPr>
          <w:rFonts w:ascii="Lato" w:eastAsia="Times New Roman" w:hAnsi="Lato" w:cs="Arial"/>
          <w:b/>
          <w:bCs/>
          <w:kern w:val="32"/>
          <w:u w:val="single"/>
        </w:rPr>
      </w:pPr>
      <w:bookmarkStart w:id="0" w:name="_Toc318206785"/>
      <w:bookmarkStart w:id="1" w:name="_Toc399396630"/>
      <w:bookmarkStart w:id="2" w:name="_Toc90475970"/>
    </w:p>
    <w:p w14:paraId="37CF0ABA" w14:textId="14D9C067" w:rsidR="00DC3F08" w:rsidRPr="006C12BA" w:rsidRDefault="00DC3F08" w:rsidP="006654BB">
      <w:pPr>
        <w:keepNext/>
        <w:spacing w:after="0" w:line="240" w:lineRule="auto"/>
        <w:contextualSpacing/>
        <w:jc w:val="both"/>
        <w:outlineLvl w:val="0"/>
        <w:rPr>
          <w:rFonts w:ascii="Lato" w:eastAsia="Times New Roman" w:hAnsi="Lato" w:cs="Arial"/>
          <w:b/>
          <w:bCs/>
          <w:kern w:val="32"/>
          <w:u w:val="single"/>
        </w:rPr>
      </w:pPr>
      <w:r w:rsidRPr="006C12BA">
        <w:rPr>
          <w:rFonts w:ascii="Lato" w:eastAsia="Times New Roman" w:hAnsi="Lato" w:cs="Arial"/>
          <w:b/>
          <w:bCs/>
          <w:kern w:val="32"/>
          <w:u w:val="single"/>
        </w:rPr>
        <w:t xml:space="preserve">IMPORTANT NOTES TO </w:t>
      </w:r>
      <w:bookmarkEnd w:id="0"/>
      <w:bookmarkEnd w:id="1"/>
      <w:bookmarkEnd w:id="2"/>
      <w:r w:rsidR="00C77527" w:rsidRPr="006C12BA">
        <w:rPr>
          <w:rFonts w:ascii="Lato" w:eastAsia="Times New Roman" w:hAnsi="Lato" w:cs="Arial"/>
          <w:b/>
          <w:bCs/>
          <w:kern w:val="32"/>
          <w:u w:val="single"/>
        </w:rPr>
        <w:t>BIDDERS</w:t>
      </w:r>
    </w:p>
    <w:p w14:paraId="1CDB5950" w14:textId="77777777" w:rsidR="00DC3F08" w:rsidRPr="006C12BA" w:rsidRDefault="00DC3F08" w:rsidP="006654BB">
      <w:pPr>
        <w:autoSpaceDE w:val="0"/>
        <w:autoSpaceDN w:val="0"/>
        <w:adjustRightInd w:val="0"/>
        <w:spacing w:after="0" w:line="240" w:lineRule="auto"/>
        <w:contextualSpacing/>
        <w:jc w:val="both"/>
        <w:rPr>
          <w:rFonts w:ascii="Lato" w:hAnsi="Lato" w:cs="Arial"/>
        </w:rPr>
      </w:pPr>
    </w:p>
    <w:p w14:paraId="136A9925" w14:textId="77777777" w:rsidR="006441EB" w:rsidRPr="006C12BA" w:rsidRDefault="006441EB" w:rsidP="006654BB">
      <w:pPr>
        <w:numPr>
          <w:ilvl w:val="0"/>
          <w:numId w:val="2"/>
        </w:numPr>
        <w:autoSpaceDE w:val="0"/>
        <w:autoSpaceDN w:val="0"/>
        <w:adjustRightInd w:val="0"/>
        <w:spacing w:after="0" w:line="240" w:lineRule="auto"/>
        <w:contextualSpacing/>
        <w:jc w:val="both"/>
        <w:rPr>
          <w:rFonts w:ascii="Lato" w:hAnsi="Lato" w:cs="Arial"/>
        </w:rPr>
      </w:pPr>
      <w:r w:rsidRPr="006C12BA">
        <w:rPr>
          <w:rFonts w:ascii="Lato" w:hAnsi="Lato" w:cs="Arial"/>
        </w:rPr>
        <w:t>Interested bidders must be registered to provide consultancy services in their respective countries.</w:t>
      </w:r>
    </w:p>
    <w:p w14:paraId="7B81DE07" w14:textId="0ED45AFC" w:rsidR="006441EB" w:rsidRPr="0094470B" w:rsidRDefault="006441EB" w:rsidP="000714C0">
      <w:pPr>
        <w:numPr>
          <w:ilvl w:val="0"/>
          <w:numId w:val="2"/>
        </w:numPr>
        <w:autoSpaceDE w:val="0"/>
        <w:autoSpaceDN w:val="0"/>
        <w:adjustRightInd w:val="0"/>
        <w:spacing w:after="0" w:line="240" w:lineRule="auto"/>
        <w:contextualSpacing/>
        <w:jc w:val="both"/>
        <w:rPr>
          <w:rFonts w:ascii="Lato" w:hAnsi="Lato" w:cs="Arial"/>
        </w:rPr>
      </w:pPr>
      <w:r w:rsidRPr="0094470B">
        <w:rPr>
          <w:rFonts w:ascii="Lato" w:hAnsi="Lato" w:cs="Arial"/>
        </w:rPr>
        <w:t>Request for Proposal documents will be available Free of Charge to all interested bidders who express interest by filling the form provided in this link</w:t>
      </w:r>
      <w:r w:rsidR="00FC7FD1" w:rsidRPr="0094470B">
        <w:rPr>
          <w:rFonts w:ascii="Lato" w:hAnsi="Lato"/>
        </w:rPr>
        <w:t xml:space="preserve"> </w:t>
      </w:r>
      <w:hyperlink r:id="rId9" w:history="1">
        <w:r w:rsidR="0094470B" w:rsidRPr="00CD7BF3">
          <w:rPr>
            <w:rStyle w:val="Hyperlink"/>
          </w:rPr>
          <w:t>https://forms.office.com/r/J6MiQ7gthW</w:t>
        </w:r>
      </w:hyperlink>
      <w:r w:rsidR="00FC7FD1" w:rsidRPr="0094470B">
        <w:rPr>
          <w:rFonts w:ascii="Lato" w:hAnsi="Lato"/>
        </w:rPr>
        <w:t xml:space="preserve"> </w:t>
      </w:r>
      <w:r w:rsidRPr="0094470B">
        <w:rPr>
          <w:rFonts w:ascii="Lato" w:hAnsi="Lato" w:cs="Arial"/>
        </w:rPr>
        <w:t xml:space="preserve"> by </w:t>
      </w:r>
      <w:r w:rsidRPr="0094470B">
        <w:rPr>
          <w:rFonts w:ascii="Lato" w:hAnsi="Lato" w:cs="Arial"/>
          <w:b/>
          <w:bCs/>
        </w:rPr>
        <w:t xml:space="preserve">5:00PM </w:t>
      </w:r>
      <w:r w:rsidR="0029436E">
        <w:rPr>
          <w:rFonts w:ascii="Lato" w:hAnsi="Lato" w:cs="Arial"/>
          <w:b/>
          <w:bCs/>
        </w:rPr>
        <w:t>Wednesday</w:t>
      </w:r>
      <w:r w:rsidR="005416BD" w:rsidRPr="0094470B">
        <w:rPr>
          <w:rFonts w:ascii="Lato" w:hAnsi="Lato" w:cs="Arial"/>
          <w:b/>
          <w:bCs/>
        </w:rPr>
        <w:t xml:space="preserve"> </w:t>
      </w:r>
      <w:r w:rsidR="00FC7FD1" w:rsidRPr="0094470B">
        <w:rPr>
          <w:rFonts w:ascii="Lato" w:hAnsi="Lato" w:cs="Arial"/>
          <w:b/>
          <w:bCs/>
        </w:rPr>
        <w:t>0</w:t>
      </w:r>
      <w:r w:rsidR="0029436E">
        <w:rPr>
          <w:rFonts w:ascii="Lato" w:hAnsi="Lato" w:cs="Arial"/>
          <w:b/>
          <w:bCs/>
        </w:rPr>
        <w:t>3</w:t>
      </w:r>
      <w:r w:rsidR="0029436E" w:rsidRPr="0029436E">
        <w:rPr>
          <w:rFonts w:ascii="Lato" w:hAnsi="Lato" w:cs="Arial"/>
          <w:b/>
          <w:bCs/>
          <w:vertAlign w:val="superscript"/>
        </w:rPr>
        <w:t>rd</w:t>
      </w:r>
      <w:r w:rsidR="0029436E">
        <w:rPr>
          <w:rFonts w:ascii="Lato" w:hAnsi="Lato" w:cs="Arial"/>
          <w:b/>
          <w:bCs/>
        </w:rPr>
        <w:t xml:space="preserve"> Decem</w:t>
      </w:r>
      <w:r w:rsidR="00FC7FD1" w:rsidRPr="0094470B">
        <w:rPr>
          <w:rFonts w:ascii="Lato" w:hAnsi="Lato" w:cs="Arial"/>
          <w:b/>
          <w:bCs/>
        </w:rPr>
        <w:t xml:space="preserve">ber </w:t>
      </w:r>
      <w:r w:rsidR="005416BD" w:rsidRPr="0094470B">
        <w:rPr>
          <w:rFonts w:ascii="Lato" w:hAnsi="Lato" w:cs="Arial"/>
          <w:b/>
          <w:bCs/>
        </w:rPr>
        <w:t>2025.</w:t>
      </w:r>
    </w:p>
    <w:p w14:paraId="02AF46B4" w14:textId="77777777" w:rsidR="006441EB" w:rsidRPr="006C12BA" w:rsidRDefault="006441EB" w:rsidP="006654BB">
      <w:pPr>
        <w:numPr>
          <w:ilvl w:val="0"/>
          <w:numId w:val="2"/>
        </w:numPr>
        <w:autoSpaceDE w:val="0"/>
        <w:autoSpaceDN w:val="0"/>
        <w:adjustRightInd w:val="0"/>
        <w:spacing w:after="0" w:line="240" w:lineRule="auto"/>
        <w:contextualSpacing/>
        <w:jc w:val="both"/>
        <w:rPr>
          <w:rFonts w:ascii="Lato" w:hAnsi="Lato" w:cs="Arial"/>
        </w:rPr>
      </w:pPr>
      <w:r w:rsidRPr="006C12BA">
        <w:rPr>
          <w:rFonts w:ascii="Lato" w:hAnsi="Lato" w:cs="Arial"/>
        </w:rPr>
        <w:t>Instructions for submission of completed proposals shall be indicated on the Request for Proposal document.</w:t>
      </w:r>
    </w:p>
    <w:p w14:paraId="19382270" w14:textId="77777777" w:rsidR="006441EB" w:rsidRPr="006C12BA" w:rsidRDefault="006441EB" w:rsidP="006654BB">
      <w:pPr>
        <w:numPr>
          <w:ilvl w:val="0"/>
          <w:numId w:val="2"/>
        </w:numPr>
        <w:autoSpaceDE w:val="0"/>
        <w:autoSpaceDN w:val="0"/>
        <w:adjustRightInd w:val="0"/>
        <w:spacing w:after="0" w:line="240" w:lineRule="auto"/>
        <w:contextualSpacing/>
        <w:jc w:val="both"/>
        <w:rPr>
          <w:rFonts w:ascii="Lato" w:hAnsi="Lato" w:cs="Arial"/>
        </w:rPr>
      </w:pPr>
      <w:r w:rsidRPr="006C12BA">
        <w:rPr>
          <w:rFonts w:ascii="Lato" w:hAnsi="Lato" w:cs="Arial"/>
        </w:rPr>
        <w:t>Nothing in this Expression of Interest shall be construed to give rise to contractual obligations with World Vision.</w:t>
      </w:r>
    </w:p>
    <w:p w14:paraId="198DDB43" w14:textId="77777777" w:rsidR="006441EB" w:rsidRDefault="006441EB" w:rsidP="006654BB">
      <w:pPr>
        <w:numPr>
          <w:ilvl w:val="0"/>
          <w:numId w:val="2"/>
        </w:numPr>
        <w:autoSpaceDE w:val="0"/>
        <w:autoSpaceDN w:val="0"/>
        <w:adjustRightInd w:val="0"/>
        <w:spacing w:after="0" w:line="240" w:lineRule="auto"/>
        <w:contextualSpacing/>
        <w:jc w:val="both"/>
        <w:rPr>
          <w:rFonts w:ascii="Lato" w:hAnsi="Lato" w:cs="Arial"/>
        </w:rPr>
      </w:pPr>
      <w:r w:rsidRPr="006C12BA">
        <w:rPr>
          <w:rFonts w:ascii="Lato" w:hAnsi="Lato" w:cs="Arial"/>
        </w:rPr>
        <w:t>World Vision, may at its absolute discretion, suspend or defer this EOI process.</w:t>
      </w:r>
    </w:p>
    <w:p w14:paraId="484B7E21" w14:textId="77777777" w:rsidR="00A31FFF" w:rsidRPr="006C12BA" w:rsidRDefault="00A31FFF" w:rsidP="00A31FFF">
      <w:pPr>
        <w:autoSpaceDE w:val="0"/>
        <w:autoSpaceDN w:val="0"/>
        <w:adjustRightInd w:val="0"/>
        <w:spacing w:after="0" w:line="240" w:lineRule="auto"/>
        <w:contextualSpacing/>
        <w:jc w:val="both"/>
        <w:rPr>
          <w:rFonts w:ascii="Lato" w:hAnsi="Lato" w:cs="Arial"/>
        </w:rPr>
      </w:pPr>
    </w:p>
    <w:p w14:paraId="7A0D1F75" w14:textId="01D30E2E" w:rsidR="00DC3F08" w:rsidRPr="006C12BA" w:rsidRDefault="005E456B" w:rsidP="006654BB">
      <w:pPr>
        <w:jc w:val="both"/>
        <w:rPr>
          <w:rFonts w:ascii="Lato" w:hAnsi="Lato" w:cs="Arial"/>
        </w:rPr>
      </w:pPr>
      <w:r w:rsidRPr="006C12BA">
        <w:rPr>
          <w:rFonts w:ascii="Lato" w:hAnsi="Lato" w:cs="Arial"/>
          <w:i/>
          <w:iCs/>
        </w:rPr>
        <w:t>“World Vision reserves the right to accept or reject any Bid and is not bound to give reasons for its decision”</w:t>
      </w:r>
    </w:p>
    <w:sectPr w:rsidR="00DC3F08" w:rsidRPr="006C1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ato">
    <w:altName w:val="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Osaka">
    <w:altName w:val="Yu Gothic"/>
    <w:charset w:val="80"/>
    <w:family w:val="swiss"/>
    <w:pitch w:val="variable"/>
    <w:sig w:usb0="00000001" w:usb1="08070000" w:usb2="00000010" w:usb3="00000000" w:csb0="000200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36CE"/>
    <w:multiLevelType w:val="hybridMultilevel"/>
    <w:tmpl w:val="916ECE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A836850"/>
    <w:multiLevelType w:val="hybridMultilevel"/>
    <w:tmpl w:val="04964B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B4920AA"/>
    <w:multiLevelType w:val="hybridMultilevel"/>
    <w:tmpl w:val="B2644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205990"/>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0CD292F"/>
    <w:multiLevelType w:val="hybridMultilevel"/>
    <w:tmpl w:val="6366C5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2755891"/>
    <w:multiLevelType w:val="multilevel"/>
    <w:tmpl w:val="FC5A94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9051ABC"/>
    <w:multiLevelType w:val="hybridMultilevel"/>
    <w:tmpl w:val="E2C4F80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8" w15:restartNumberingAfterBreak="0">
    <w:nsid w:val="1EDA46F2"/>
    <w:multiLevelType w:val="multilevel"/>
    <w:tmpl w:val="F0B2A14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6147E31"/>
    <w:multiLevelType w:val="multilevel"/>
    <w:tmpl w:val="AEE65DCE"/>
    <w:lvl w:ilvl="0">
      <w:start w:val="1"/>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0" w15:restartNumberingAfterBreak="0">
    <w:nsid w:val="26CA3FF7"/>
    <w:multiLevelType w:val="hybridMultilevel"/>
    <w:tmpl w:val="664288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2BFD3A84"/>
    <w:multiLevelType w:val="hybridMultilevel"/>
    <w:tmpl w:val="54244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E024CD3"/>
    <w:multiLevelType w:val="hybridMultilevel"/>
    <w:tmpl w:val="3B98B5F6"/>
    <w:lvl w:ilvl="0" w:tplc="E7764FB4">
      <w:numFmt w:val="bullet"/>
      <w:lvlText w:val="-"/>
      <w:lvlJc w:val="left"/>
      <w:pPr>
        <w:ind w:left="1080" w:hanging="720"/>
      </w:pPr>
      <w:rPr>
        <w:rFonts w:ascii="Lato" w:eastAsia="Calibri" w:hAnsi="La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2FE80D8E"/>
    <w:multiLevelType w:val="multilevel"/>
    <w:tmpl w:val="4810F5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40F5BB0"/>
    <w:multiLevelType w:val="multilevel"/>
    <w:tmpl w:val="65F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8B23FD"/>
    <w:multiLevelType w:val="hybridMultilevel"/>
    <w:tmpl w:val="C442B1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6F505F3"/>
    <w:multiLevelType w:val="hybridMultilevel"/>
    <w:tmpl w:val="F3BC344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7"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37DC3CB3"/>
    <w:multiLevelType w:val="multilevel"/>
    <w:tmpl w:val="AF82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EC2F7C"/>
    <w:multiLevelType w:val="hybridMultilevel"/>
    <w:tmpl w:val="ED2EAC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B7A7D69"/>
    <w:multiLevelType w:val="hybridMultilevel"/>
    <w:tmpl w:val="01DA693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3BC2332D"/>
    <w:multiLevelType w:val="multilevel"/>
    <w:tmpl w:val="EE7C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E21185"/>
    <w:multiLevelType w:val="multilevel"/>
    <w:tmpl w:val="7B98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B213D0"/>
    <w:multiLevelType w:val="multilevel"/>
    <w:tmpl w:val="55A61F54"/>
    <w:lvl w:ilvl="0">
      <w:start w:val="1"/>
      <w:numFmt w:val="decimal"/>
      <w:lvlText w:val="%1."/>
      <w:lvlJc w:val="left"/>
      <w:pPr>
        <w:ind w:left="360" w:hanging="360"/>
      </w:pPr>
      <w:rPr>
        <w:rFonts w:hint="default"/>
        <w:b/>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43637277"/>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145FC0"/>
    <w:multiLevelType w:val="multilevel"/>
    <w:tmpl w:val="3B687E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4C5F14E9"/>
    <w:multiLevelType w:val="hybridMultilevel"/>
    <w:tmpl w:val="E51262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4F221C2D"/>
    <w:multiLevelType w:val="hybridMultilevel"/>
    <w:tmpl w:val="296EC6C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28" w15:restartNumberingAfterBreak="0">
    <w:nsid w:val="4F703838"/>
    <w:multiLevelType w:val="hybridMultilevel"/>
    <w:tmpl w:val="15F49A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5700642D"/>
    <w:multiLevelType w:val="hybridMultilevel"/>
    <w:tmpl w:val="CD9A44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5DED1F6F"/>
    <w:multiLevelType w:val="hybridMultilevel"/>
    <w:tmpl w:val="3B664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5EF64C12"/>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F76689"/>
    <w:multiLevelType w:val="multilevel"/>
    <w:tmpl w:val="9F6A20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8A239D"/>
    <w:multiLevelType w:val="hybridMultilevel"/>
    <w:tmpl w:val="FD5C507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34" w15:restartNumberingAfterBreak="0">
    <w:nsid w:val="645D058B"/>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F97813"/>
    <w:multiLevelType w:val="hybridMultilevel"/>
    <w:tmpl w:val="8F30AB9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6" w15:restartNumberingAfterBreak="0">
    <w:nsid w:val="66994501"/>
    <w:multiLevelType w:val="hybridMultilevel"/>
    <w:tmpl w:val="2884DE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7" w15:restartNumberingAfterBreak="0">
    <w:nsid w:val="698A1895"/>
    <w:multiLevelType w:val="multilevel"/>
    <w:tmpl w:val="93E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A5F0793"/>
    <w:multiLevelType w:val="hybridMultilevel"/>
    <w:tmpl w:val="D242A3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6B141A5A"/>
    <w:multiLevelType w:val="multilevel"/>
    <w:tmpl w:val="3BA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1" w15:restartNumberingAfterBreak="0">
    <w:nsid w:val="6F0F5F9F"/>
    <w:multiLevelType w:val="multilevel"/>
    <w:tmpl w:val="3DA4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3" w15:restartNumberingAfterBreak="0">
    <w:nsid w:val="7AD46B84"/>
    <w:multiLevelType w:val="multilevel"/>
    <w:tmpl w:val="FE883ED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4" w15:restartNumberingAfterBreak="0">
    <w:nsid w:val="7DB01009"/>
    <w:multiLevelType w:val="multilevel"/>
    <w:tmpl w:val="C150C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FB4651B"/>
    <w:multiLevelType w:val="hybridMultilevel"/>
    <w:tmpl w:val="08642C5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7"/>
  </w:num>
  <w:num w:numId="2">
    <w:abstractNumId w:val="40"/>
  </w:num>
  <w:num w:numId="3">
    <w:abstractNumId w:val="3"/>
  </w:num>
  <w:num w:numId="4">
    <w:abstractNumId w:val="42"/>
  </w:num>
  <w:num w:numId="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8"/>
  </w:num>
  <w:num w:numId="9">
    <w:abstractNumId w:val="24"/>
  </w:num>
  <w:num w:numId="10">
    <w:abstractNumId w:val="24"/>
  </w:num>
  <w:num w:numId="11">
    <w:abstractNumId w:val="4"/>
  </w:num>
  <w:num w:numId="12">
    <w:abstractNumId w:val="28"/>
  </w:num>
  <w:num w:numId="13">
    <w:abstractNumId w:val="12"/>
  </w:num>
  <w:num w:numId="14">
    <w:abstractNumId w:val="14"/>
  </w:num>
  <w:num w:numId="15">
    <w:abstractNumId w:val="21"/>
  </w:num>
  <w:num w:numId="16">
    <w:abstractNumId w:val="39"/>
  </w:num>
  <w:num w:numId="17">
    <w:abstractNumId w:val="23"/>
  </w:num>
  <w:num w:numId="18">
    <w:abstractNumId w:val="7"/>
  </w:num>
  <w:num w:numId="19">
    <w:abstractNumId w:val="27"/>
  </w:num>
  <w:num w:numId="20">
    <w:abstractNumId w:val="33"/>
  </w:num>
  <w:num w:numId="21">
    <w:abstractNumId w:val="45"/>
  </w:num>
  <w:num w:numId="22">
    <w:abstractNumId w:val="20"/>
  </w:num>
  <w:num w:numId="23">
    <w:abstractNumId w:val="16"/>
  </w:num>
  <w:num w:numId="24">
    <w:abstractNumId w:val="37"/>
  </w:num>
  <w:num w:numId="25">
    <w:abstractNumId w:val="44"/>
  </w:num>
  <w:num w:numId="26">
    <w:abstractNumId w:val="15"/>
  </w:num>
  <w:num w:numId="27">
    <w:abstractNumId w:val="19"/>
  </w:num>
  <w:num w:numId="28">
    <w:abstractNumId w:val="5"/>
  </w:num>
  <w:num w:numId="29">
    <w:abstractNumId w:val="1"/>
  </w:num>
  <w:num w:numId="30">
    <w:abstractNumId w:val="11"/>
  </w:num>
  <w:num w:numId="31">
    <w:abstractNumId w:val="35"/>
  </w:num>
  <w:num w:numId="32">
    <w:abstractNumId w:val="10"/>
  </w:num>
  <w:num w:numId="33">
    <w:abstractNumId w:val="26"/>
  </w:num>
  <w:num w:numId="34">
    <w:abstractNumId w:val="38"/>
  </w:num>
  <w:num w:numId="35">
    <w:abstractNumId w:val="0"/>
  </w:num>
  <w:num w:numId="36">
    <w:abstractNumId w:val="29"/>
  </w:num>
  <w:num w:numId="37">
    <w:abstractNumId w:val="41"/>
  </w:num>
  <w:num w:numId="38">
    <w:abstractNumId w:val="22"/>
  </w:num>
  <w:num w:numId="39">
    <w:abstractNumId w:val="18"/>
  </w:num>
  <w:num w:numId="40">
    <w:abstractNumId w:val="34"/>
  </w:num>
  <w:num w:numId="41">
    <w:abstractNumId w:val="31"/>
  </w:num>
  <w:num w:numId="42">
    <w:abstractNumId w:val="43"/>
  </w:num>
  <w:num w:numId="43">
    <w:abstractNumId w:val="36"/>
  </w:num>
  <w:num w:numId="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2"/>
    <w:lvlOverride w:ilvl="0"/>
    <w:lvlOverride w:ilvl="1"/>
    <w:lvlOverride w:ilvl="2"/>
    <w:lvlOverride w:ilvl="3"/>
    <w:lvlOverride w:ilvl="4"/>
    <w:lvlOverride w:ilvl="5"/>
    <w:lvlOverride w:ilvl="6"/>
    <w:lvlOverride w:ilvl="7"/>
    <w:lvlOverride w:ilvl="8"/>
  </w:num>
  <w:num w:numId="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17FB3"/>
    <w:rsid w:val="00024EB7"/>
    <w:rsid w:val="000C0FA6"/>
    <w:rsid w:val="000C297F"/>
    <w:rsid w:val="000E6300"/>
    <w:rsid w:val="000E69B2"/>
    <w:rsid w:val="00100DBC"/>
    <w:rsid w:val="00114D4C"/>
    <w:rsid w:val="00124273"/>
    <w:rsid w:val="00162B48"/>
    <w:rsid w:val="00174C73"/>
    <w:rsid w:val="0019544F"/>
    <w:rsid w:val="001B65A5"/>
    <w:rsid w:val="001C1C00"/>
    <w:rsid w:val="001F200E"/>
    <w:rsid w:val="00203D1D"/>
    <w:rsid w:val="002066C5"/>
    <w:rsid w:val="00207457"/>
    <w:rsid w:val="00242C8E"/>
    <w:rsid w:val="00280A79"/>
    <w:rsid w:val="00291A0D"/>
    <w:rsid w:val="0029436E"/>
    <w:rsid w:val="002A731A"/>
    <w:rsid w:val="002B2524"/>
    <w:rsid w:val="002D17D0"/>
    <w:rsid w:val="002F0833"/>
    <w:rsid w:val="002F5074"/>
    <w:rsid w:val="00300307"/>
    <w:rsid w:val="00327AA1"/>
    <w:rsid w:val="00344FC9"/>
    <w:rsid w:val="00347839"/>
    <w:rsid w:val="00374670"/>
    <w:rsid w:val="00375D76"/>
    <w:rsid w:val="003809CA"/>
    <w:rsid w:val="003923C9"/>
    <w:rsid w:val="003C28AF"/>
    <w:rsid w:val="003E011C"/>
    <w:rsid w:val="003E0F7B"/>
    <w:rsid w:val="00414CAC"/>
    <w:rsid w:val="00416B9A"/>
    <w:rsid w:val="00417015"/>
    <w:rsid w:val="0043079D"/>
    <w:rsid w:val="00430F0D"/>
    <w:rsid w:val="004524E9"/>
    <w:rsid w:val="0045784A"/>
    <w:rsid w:val="00465B52"/>
    <w:rsid w:val="004675C6"/>
    <w:rsid w:val="00486402"/>
    <w:rsid w:val="0048663E"/>
    <w:rsid w:val="004B2711"/>
    <w:rsid w:val="004B5884"/>
    <w:rsid w:val="004B5A22"/>
    <w:rsid w:val="004C058F"/>
    <w:rsid w:val="004C5058"/>
    <w:rsid w:val="004D1EEB"/>
    <w:rsid w:val="004D6480"/>
    <w:rsid w:val="004E0F57"/>
    <w:rsid w:val="004E28D8"/>
    <w:rsid w:val="004E40DE"/>
    <w:rsid w:val="00520B60"/>
    <w:rsid w:val="005216F6"/>
    <w:rsid w:val="005416BD"/>
    <w:rsid w:val="00572602"/>
    <w:rsid w:val="005B2F20"/>
    <w:rsid w:val="005D02D0"/>
    <w:rsid w:val="005D51AB"/>
    <w:rsid w:val="005E37F6"/>
    <w:rsid w:val="005E3F86"/>
    <w:rsid w:val="005E456B"/>
    <w:rsid w:val="00612E62"/>
    <w:rsid w:val="006206EF"/>
    <w:rsid w:val="00630A74"/>
    <w:rsid w:val="00634F36"/>
    <w:rsid w:val="0064068D"/>
    <w:rsid w:val="006441EB"/>
    <w:rsid w:val="00653BDC"/>
    <w:rsid w:val="006654BB"/>
    <w:rsid w:val="006B79DC"/>
    <w:rsid w:val="006C12BA"/>
    <w:rsid w:val="006C6A68"/>
    <w:rsid w:val="006F0C0E"/>
    <w:rsid w:val="007127AD"/>
    <w:rsid w:val="00732B0A"/>
    <w:rsid w:val="007877F3"/>
    <w:rsid w:val="0079475D"/>
    <w:rsid w:val="00797CC0"/>
    <w:rsid w:val="007B56B8"/>
    <w:rsid w:val="007B600B"/>
    <w:rsid w:val="007B7C83"/>
    <w:rsid w:val="007D730E"/>
    <w:rsid w:val="007F368E"/>
    <w:rsid w:val="007F62CE"/>
    <w:rsid w:val="00812843"/>
    <w:rsid w:val="00836A7B"/>
    <w:rsid w:val="00840812"/>
    <w:rsid w:val="008475A8"/>
    <w:rsid w:val="008558EE"/>
    <w:rsid w:val="0086416C"/>
    <w:rsid w:val="008779AF"/>
    <w:rsid w:val="00896603"/>
    <w:rsid w:val="009027D3"/>
    <w:rsid w:val="0091088E"/>
    <w:rsid w:val="00924EB3"/>
    <w:rsid w:val="0094470B"/>
    <w:rsid w:val="00947EA1"/>
    <w:rsid w:val="009579A9"/>
    <w:rsid w:val="00966B77"/>
    <w:rsid w:val="009733E0"/>
    <w:rsid w:val="009779EB"/>
    <w:rsid w:val="00977FD2"/>
    <w:rsid w:val="009A2B1D"/>
    <w:rsid w:val="009C29E9"/>
    <w:rsid w:val="009D5A65"/>
    <w:rsid w:val="00A231FA"/>
    <w:rsid w:val="00A31FFF"/>
    <w:rsid w:val="00A61D5C"/>
    <w:rsid w:val="00A66635"/>
    <w:rsid w:val="00A66A87"/>
    <w:rsid w:val="00A67D39"/>
    <w:rsid w:val="00A73B65"/>
    <w:rsid w:val="00A767DB"/>
    <w:rsid w:val="00AB27E6"/>
    <w:rsid w:val="00AC07B7"/>
    <w:rsid w:val="00AC79B9"/>
    <w:rsid w:val="00AD3074"/>
    <w:rsid w:val="00AE0D5F"/>
    <w:rsid w:val="00AE22DD"/>
    <w:rsid w:val="00B028AA"/>
    <w:rsid w:val="00B20C23"/>
    <w:rsid w:val="00B4683D"/>
    <w:rsid w:val="00B65560"/>
    <w:rsid w:val="00B6736D"/>
    <w:rsid w:val="00B732EB"/>
    <w:rsid w:val="00B91E1F"/>
    <w:rsid w:val="00BB2FFD"/>
    <w:rsid w:val="00BB59DE"/>
    <w:rsid w:val="00BC260A"/>
    <w:rsid w:val="00BF06B0"/>
    <w:rsid w:val="00C04DF0"/>
    <w:rsid w:val="00C55536"/>
    <w:rsid w:val="00C77527"/>
    <w:rsid w:val="00C81789"/>
    <w:rsid w:val="00C92C1D"/>
    <w:rsid w:val="00C94D99"/>
    <w:rsid w:val="00D12EE0"/>
    <w:rsid w:val="00D30810"/>
    <w:rsid w:val="00D35867"/>
    <w:rsid w:val="00D60C30"/>
    <w:rsid w:val="00D87617"/>
    <w:rsid w:val="00DA3768"/>
    <w:rsid w:val="00DB38ED"/>
    <w:rsid w:val="00DC3F08"/>
    <w:rsid w:val="00DF3871"/>
    <w:rsid w:val="00DF5695"/>
    <w:rsid w:val="00E0280C"/>
    <w:rsid w:val="00E230E5"/>
    <w:rsid w:val="00E50F99"/>
    <w:rsid w:val="00E534B1"/>
    <w:rsid w:val="00E630F8"/>
    <w:rsid w:val="00E63AFE"/>
    <w:rsid w:val="00E656DA"/>
    <w:rsid w:val="00E922B7"/>
    <w:rsid w:val="00E96D80"/>
    <w:rsid w:val="00EC0AC9"/>
    <w:rsid w:val="00EC4100"/>
    <w:rsid w:val="00ED4358"/>
    <w:rsid w:val="00EE662B"/>
    <w:rsid w:val="00F04EA1"/>
    <w:rsid w:val="00F625BE"/>
    <w:rsid w:val="00F64DB2"/>
    <w:rsid w:val="00F66A18"/>
    <w:rsid w:val="00F977D9"/>
    <w:rsid w:val="00FB3B2E"/>
    <w:rsid w:val="00FB7389"/>
    <w:rsid w:val="00FC7FD1"/>
    <w:rsid w:val="00FE14B3"/>
    <w:rsid w:val="00FE5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link w:val="ListParagraphChar"/>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character" w:customStyle="1" w:styleId="ListParagraphChar">
    <w:name w:val="List Paragraph Char"/>
    <w:link w:val="ListParagraph"/>
    <w:locked/>
    <w:rsid w:val="00520B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609974439">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s.office.com/r/J6MiQ7gth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913AB1E10D10A4F85C7CC426F717422" ma:contentTypeVersion="19" ma:contentTypeDescription="Create a new document." ma:contentTypeScope="" ma:versionID="9b9bf0fb6bde1d2d5f9c916a9e1d4e1b">
  <xsd:schema xmlns:xsd="http://www.w3.org/2001/XMLSchema" xmlns:xs="http://www.w3.org/2001/XMLSchema" xmlns:p="http://schemas.microsoft.com/office/2006/metadata/properties" xmlns:ns1="http://schemas.microsoft.com/sharepoint/v3" xmlns:ns3="b86e14ed-a7e1-4b91-a704-1c5bdd098384" xmlns:ns4="56a1f96f-feb9-4a1b-a266-b1cf2bdf0769" targetNamespace="http://schemas.microsoft.com/office/2006/metadata/properties" ma:root="true" ma:fieldsID="79a1ae6cfdf73928ab3aead3a0b158f4" ns1:_="" ns3:_="" ns4:_="">
    <xsd:import namespace="http://schemas.microsoft.com/sharepoint/v3"/>
    <xsd:import namespace="b86e14ed-a7e1-4b91-a704-1c5bdd098384"/>
    <xsd:import namespace="56a1f96f-feb9-4a1b-a266-b1cf2bdf07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e14ed-a7e1-4b91-a704-1c5bdd098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1f96f-feb9-4a1b-a266-b1cf2bdf07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86e14ed-a7e1-4b91-a704-1c5bdd098384"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EFA780D-0BC8-4F81-8887-770C0B201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6e14ed-a7e1-4b91-a704-1c5bdd098384"/>
    <ds:schemaRef ds:uri="56a1f96f-feb9-4a1b-a266-b1cf2bdf0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3.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b86e14ed-a7e1-4b91-a704-1c5bdd09838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929</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Emma Watathi</cp:lastModifiedBy>
  <cp:revision>2</cp:revision>
  <dcterms:created xsi:type="dcterms:W3CDTF">2025-11-26T08:55:00Z</dcterms:created>
  <dcterms:modified xsi:type="dcterms:W3CDTF">2025-11-26T08:55:00Z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0x0101004913AB1E10D10A4F85C7CC426F717422</vt:lpwstr>
  </property>
</Properties>
</file>