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4B884A" w14:textId="77777777" w:rsidR="00FA4CB8" w:rsidRDefault="00FA4CB8">
      <w:pPr>
        <w:spacing w:after="200"/>
        <w:jc w:val="center"/>
        <w:rPr>
          <w:rFonts w:ascii="Times New Roman" w:hAnsi="Times New Roman" w:cs="Times New Roman"/>
          <w:b/>
          <w:bCs/>
          <w:sz w:val="32"/>
          <w:szCs w:val="32"/>
        </w:rPr>
      </w:pPr>
      <w:r>
        <w:rPr>
          <w:rFonts w:ascii="Century Gothic" w:hAnsi="Century Gothic" w:cstheme="minorHAnsi"/>
          <w:noProof/>
          <w:lang w:val="en-AU"/>
        </w:rPr>
        <w:drawing>
          <wp:anchor distT="0" distB="0" distL="114300" distR="114300" simplePos="0" relativeHeight="251659264" behindDoc="1" locked="0" layoutInCell="1" allowOverlap="1" wp14:anchorId="5FFC8D93" wp14:editId="76D02182">
            <wp:simplePos x="0" y="0"/>
            <wp:positionH relativeFrom="column">
              <wp:posOffset>2168909</wp:posOffset>
            </wp:positionH>
            <wp:positionV relativeFrom="paragraph">
              <wp:posOffset>0</wp:posOffset>
            </wp:positionV>
            <wp:extent cx="1476375" cy="975995"/>
            <wp:effectExtent l="0" t="0" r="0" b="1905"/>
            <wp:wrapTight wrapText="bothSides">
              <wp:wrapPolygon edited="0">
                <wp:start x="0" y="0"/>
                <wp:lineTo x="0" y="21361"/>
                <wp:lineTo x="21368" y="21361"/>
                <wp:lineTo x="2136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76375" cy="975995"/>
                    </a:xfrm>
                    <a:prstGeom prst="rect">
                      <a:avLst/>
                    </a:prstGeom>
                    <a:noFill/>
                    <a:ln>
                      <a:noFill/>
                    </a:ln>
                  </pic:spPr>
                </pic:pic>
              </a:graphicData>
            </a:graphic>
            <wp14:sizeRelV relativeFrom="margin">
              <wp14:pctHeight>0</wp14:pctHeight>
            </wp14:sizeRelV>
          </wp:anchor>
        </w:drawing>
      </w:r>
    </w:p>
    <w:p w14:paraId="4DB84FA8" w14:textId="77777777" w:rsidR="00FA4CB8" w:rsidRDefault="00FA4CB8">
      <w:pPr>
        <w:spacing w:after="200"/>
        <w:jc w:val="center"/>
        <w:rPr>
          <w:rFonts w:ascii="Times New Roman" w:hAnsi="Times New Roman" w:cs="Times New Roman"/>
          <w:b/>
          <w:bCs/>
          <w:sz w:val="32"/>
          <w:szCs w:val="32"/>
        </w:rPr>
      </w:pPr>
    </w:p>
    <w:p w14:paraId="32D4B287" w14:textId="77777777" w:rsidR="00FA4CB8" w:rsidRDefault="00FA4CB8">
      <w:pPr>
        <w:spacing w:after="200"/>
        <w:jc w:val="center"/>
        <w:rPr>
          <w:rFonts w:ascii="Times New Roman" w:hAnsi="Times New Roman" w:cs="Times New Roman"/>
          <w:b/>
          <w:bCs/>
          <w:sz w:val="32"/>
          <w:szCs w:val="32"/>
        </w:rPr>
      </w:pPr>
    </w:p>
    <w:p w14:paraId="24D1BE5C" w14:textId="77777777" w:rsidR="005D5BAF" w:rsidRPr="00F00EE3" w:rsidRDefault="00000000">
      <w:pPr>
        <w:spacing w:after="200"/>
        <w:jc w:val="center"/>
        <w:rPr>
          <w:rFonts w:ascii="Times New Roman" w:hAnsi="Times New Roman" w:cs="Times New Roman"/>
          <w:b/>
          <w:bCs/>
          <w:sz w:val="31"/>
          <w:szCs w:val="31"/>
        </w:rPr>
      </w:pPr>
      <w:r>
        <w:rPr>
          <w:rFonts w:ascii="Times New Roman" w:hAnsi="Times New Roman" w:cs="Times New Roman"/>
          <w:b/>
          <w:bCs/>
          <w:sz w:val="32"/>
          <w:szCs w:val="32"/>
        </w:rPr>
        <w:t>FEDERAL REPUBLIC OF SOMALIA</w:t>
      </w:r>
    </w:p>
    <w:p w14:paraId="1D8096AE" w14:textId="77777777" w:rsidR="005D5BAF" w:rsidRPr="00F00EE3" w:rsidRDefault="00000000">
      <w:pPr>
        <w:spacing w:after="60"/>
        <w:jc w:val="center"/>
        <w:rPr>
          <w:rFonts w:ascii="Times New Roman" w:hAnsi="Times New Roman" w:cs="Times New Roman"/>
          <w:b/>
          <w:bCs/>
          <w:sz w:val="31"/>
          <w:szCs w:val="31"/>
        </w:rPr>
      </w:pPr>
      <w:r>
        <w:rPr>
          <w:rFonts w:ascii="Times New Roman" w:hAnsi="Times New Roman" w:cs="Times New Roman"/>
          <w:b/>
          <w:bCs/>
          <w:sz w:val="31"/>
          <w:szCs w:val="31"/>
        </w:rPr>
        <w:t>Ministry of Public Works, Reconstruction and Housing (MoPWRH)</w:t>
      </w:r>
    </w:p>
    <w:p w14:paraId="69216115" w14:textId="77777777" w:rsidR="005D5BAF" w:rsidRDefault="00000000">
      <w:pPr>
        <w:pBdr>
          <w:bottom w:val="single" w:sz="6" w:space="1" w:color="auto"/>
        </w:pBdr>
        <w:spacing w:after="500"/>
        <w:jc w:val="center"/>
        <w:rPr>
          <w:rFonts w:ascii="Times New Roman" w:hAnsi="Times New Roman" w:cs="Times New Roman"/>
          <w:b/>
          <w:bCs/>
          <w:i/>
          <w:iCs/>
          <w:sz w:val="30"/>
          <w:szCs w:val="30"/>
        </w:rPr>
      </w:pPr>
      <w:r>
        <w:rPr>
          <w:rFonts w:ascii="Times New Roman" w:hAnsi="Times New Roman" w:cs="Times New Roman"/>
          <w:b/>
          <w:bCs/>
          <w:i/>
          <w:iCs/>
          <w:sz w:val="30"/>
          <w:szCs w:val="30"/>
        </w:rPr>
        <w:t>Somalia Infrastructure Development for Access and Jobs, Phase 1 (P513127)</w:t>
      </w:r>
    </w:p>
    <w:p w14:paraId="40965498" w14:textId="77777777" w:rsidR="005D5BAF" w:rsidRPr="00F00EE3" w:rsidRDefault="00000000">
      <w:pPr>
        <w:spacing w:before="600" w:after="200"/>
        <w:jc w:val="center"/>
        <w:rPr>
          <w:rFonts w:ascii="Times New Roman" w:hAnsi="Times New Roman" w:cs="Times New Roman"/>
          <w:sz w:val="19"/>
          <w:szCs w:val="19"/>
        </w:rPr>
      </w:pPr>
      <w:r>
        <w:rPr>
          <w:rFonts w:ascii="Times New Roman" w:hAnsi="Times New Roman" w:cs="Times New Roman"/>
          <w:b/>
          <w:bCs/>
          <w:sz w:val="38"/>
          <w:szCs w:val="38"/>
        </w:rPr>
        <w:t>TERMS OF REFERENCE</w:t>
      </w:r>
    </w:p>
    <w:p w14:paraId="62382F9F" w14:textId="77777777" w:rsidR="005D5BAF" w:rsidRPr="00F00EE3" w:rsidRDefault="00000000">
      <w:pPr>
        <w:spacing w:after="700"/>
        <w:jc w:val="center"/>
        <w:rPr>
          <w:rFonts w:ascii="Times New Roman" w:hAnsi="Times New Roman" w:cs="Times New Roman"/>
        </w:rPr>
      </w:pPr>
      <w:r>
        <w:rPr>
          <w:rFonts w:ascii="Times New Roman" w:hAnsi="Times New Roman" w:cs="Times New Roman"/>
          <w:b/>
          <w:bCs/>
          <w:sz w:val="26"/>
          <w:szCs w:val="26"/>
        </w:rPr>
        <w:t>Consultancy Services for the Preparation of Detailed Design and Environmental and Social (E&amp;S) Assessments for a New MoPWRH Headquarters Building in Mogadishu</w:t>
      </w:r>
    </w:p>
    <w:tbl>
      <w:tblPr>
        <w:tblW w:w="10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60"/>
        <w:gridCol w:w="7589"/>
      </w:tblGrid>
      <w:tr w:rsidR="00F00EE3" w:rsidRPr="00F00EE3" w14:paraId="2E9ED97C" w14:textId="77777777" w:rsidTr="00F00EE3">
        <w:trPr>
          <w:trHeight w:val="387"/>
          <w:tblHeader/>
        </w:trPr>
        <w:tc>
          <w:tcPr>
            <w:tcW w:w="2460" w:type="dxa"/>
            <w:tcMar>
              <w:top w:w="80" w:type="dxa"/>
              <w:left w:w="100" w:type="dxa"/>
              <w:bottom w:w="80" w:type="dxa"/>
              <w:right w:w="100" w:type="dxa"/>
            </w:tcMar>
            <w:vAlign w:val="center"/>
          </w:tcPr>
          <w:p w14:paraId="2087CFE3" w14:textId="77777777" w:rsidR="005D5BAF" w:rsidRPr="00F00EE3" w:rsidRDefault="00000000">
            <w:pPr>
              <w:spacing w:after="40"/>
              <w:rPr>
                <w:rFonts w:ascii="Times New Roman" w:hAnsi="Times New Roman" w:cs="Times New Roman"/>
              </w:rPr>
            </w:pPr>
            <w:r>
              <w:rPr>
                <w:rFonts w:ascii="Times New Roman" w:hAnsi="Times New Roman" w:cs="Times New Roman"/>
                <w:b/>
                <w:bCs/>
                <w:sz w:val="20"/>
                <w:szCs w:val="20"/>
              </w:rPr>
              <w:t>Item</w:t>
            </w:r>
          </w:p>
        </w:tc>
        <w:tc>
          <w:tcPr>
            <w:tcW w:w="7589" w:type="dxa"/>
            <w:tcMar>
              <w:top w:w="80" w:type="dxa"/>
              <w:left w:w="100" w:type="dxa"/>
              <w:bottom w:w="80" w:type="dxa"/>
              <w:right w:w="100" w:type="dxa"/>
            </w:tcMar>
            <w:vAlign w:val="center"/>
          </w:tcPr>
          <w:p w14:paraId="153F0B3D" w14:textId="77777777" w:rsidR="005D5BAF" w:rsidRPr="00F00EE3" w:rsidRDefault="00000000">
            <w:pPr>
              <w:spacing w:after="40"/>
              <w:rPr>
                <w:rFonts w:ascii="Times New Roman" w:hAnsi="Times New Roman" w:cs="Times New Roman"/>
              </w:rPr>
            </w:pPr>
            <w:r>
              <w:rPr>
                <w:rFonts w:ascii="Times New Roman" w:hAnsi="Times New Roman" w:cs="Times New Roman"/>
                <w:b/>
                <w:bCs/>
                <w:sz w:val="20"/>
                <w:szCs w:val="20"/>
              </w:rPr>
              <w:t>Detail</w:t>
            </w:r>
          </w:p>
        </w:tc>
      </w:tr>
      <w:tr w:rsidR="00F00EE3" w:rsidRPr="00F00EE3" w14:paraId="60A3AC7D" w14:textId="77777777" w:rsidTr="00A35F3D">
        <w:trPr>
          <w:trHeight w:val="864"/>
        </w:trPr>
        <w:tc>
          <w:tcPr>
            <w:tcW w:w="2460" w:type="dxa"/>
            <w:tcMar>
              <w:top w:w="80" w:type="dxa"/>
              <w:left w:w="100" w:type="dxa"/>
              <w:bottom w:w="80" w:type="dxa"/>
              <w:right w:w="100" w:type="dxa"/>
            </w:tcMar>
            <w:vAlign w:val="center"/>
          </w:tcPr>
          <w:p w14:paraId="1F0A37FA"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Project</w:t>
            </w:r>
          </w:p>
        </w:tc>
        <w:tc>
          <w:tcPr>
            <w:tcW w:w="7589" w:type="dxa"/>
            <w:tcMar>
              <w:top w:w="80" w:type="dxa"/>
              <w:left w:w="100" w:type="dxa"/>
              <w:bottom w:w="80" w:type="dxa"/>
              <w:right w:w="100" w:type="dxa"/>
            </w:tcMar>
            <w:vAlign w:val="center"/>
          </w:tcPr>
          <w:p w14:paraId="661221B3"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Somalia Infrastructure Development for Access and Jobs, Phase 1, P513127 – first phase of a Multiphase Programmatic Approach (MPA), financed by the World Bank (IDA)</w:t>
            </w:r>
          </w:p>
        </w:tc>
      </w:tr>
      <w:tr w:rsidR="00F00EE3" w:rsidRPr="00F00EE3" w14:paraId="737DF408" w14:textId="77777777" w:rsidTr="00F00EE3">
        <w:trPr>
          <w:trHeight w:val="726"/>
        </w:trPr>
        <w:tc>
          <w:tcPr>
            <w:tcW w:w="2460" w:type="dxa"/>
            <w:tcMar>
              <w:top w:w="80" w:type="dxa"/>
              <w:left w:w="100" w:type="dxa"/>
              <w:bottom w:w="80" w:type="dxa"/>
              <w:right w:w="100" w:type="dxa"/>
            </w:tcMar>
            <w:vAlign w:val="center"/>
          </w:tcPr>
          <w:p w14:paraId="021D16CC"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Component / Sub-component</w:t>
            </w:r>
          </w:p>
        </w:tc>
        <w:tc>
          <w:tcPr>
            <w:tcW w:w="7589" w:type="dxa"/>
            <w:tcMar>
              <w:top w:w="80" w:type="dxa"/>
              <w:left w:w="100" w:type="dxa"/>
              <w:bottom w:w="80" w:type="dxa"/>
              <w:right w:w="100" w:type="dxa"/>
            </w:tcMar>
            <w:vAlign w:val="center"/>
          </w:tcPr>
          <w:p w14:paraId="31004C5A"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Component 2: Institutional Transformation and Human Capacity Building – Sub-component 2.B: Construction and Engineering Capacity Building</w:t>
            </w:r>
          </w:p>
        </w:tc>
      </w:tr>
      <w:tr w:rsidR="00F00EE3" w:rsidRPr="00F00EE3" w14:paraId="507320A3" w14:textId="77777777" w:rsidTr="00F00EE3">
        <w:trPr>
          <w:trHeight w:val="1066"/>
        </w:trPr>
        <w:tc>
          <w:tcPr>
            <w:tcW w:w="2460" w:type="dxa"/>
            <w:tcMar>
              <w:top w:w="80" w:type="dxa"/>
              <w:left w:w="100" w:type="dxa"/>
              <w:bottom w:w="80" w:type="dxa"/>
              <w:right w:w="100" w:type="dxa"/>
            </w:tcMar>
            <w:vAlign w:val="center"/>
          </w:tcPr>
          <w:p w14:paraId="4207D7DC"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Activity</w:t>
            </w:r>
          </w:p>
        </w:tc>
        <w:tc>
          <w:tcPr>
            <w:tcW w:w="7589" w:type="dxa"/>
            <w:tcMar>
              <w:top w:w="80" w:type="dxa"/>
              <w:left w:w="100" w:type="dxa"/>
              <w:bottom w:w="80" w:type="dxa"/>
              <w:right w:w="100" w:type="dxa"/>
            </w:tcMar>
            <w:vAlign w:val="center"/>
          </w:tcPr>
          <w:p w14:paraId="41F0DDA0"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MoPWRH Technical Assistance, Activity (c): Preparation of detailed design and E&amp;S assessments for a new ministry headquarters building (construction to be financed under a future MPA phase)</w:t>
            </w:r>
          </w:p>
        </w:tc>
      </w:tr>
      <w:tr w:rsidR="00F00EE3" w:rsidRPr="00F00EE3" w14:paraId="6C3E1E5C" w14:textId="77777777" w:rsidTr="00F00EE3">
        <w:trPr>
          <w:trHeight w:val="726"/>
        </w:trPr>
        <w:tc>
          <w:tcPr>
            <w:tcW w:w="2460" w:type="dxa"/>
            <w:tcMar>
              <w:top w:w="80" w:type="dxa"/>
              <w:left w:w="100" w:type="dxa"/>
              <w:bottom w:w="80" w:type="dxa"/>
              <w:right w:w="100" w:type="dxa"/>
            </w:tcMar>
            <w:vAlign w:val="center"/>
          </w:tcPr>
          <w:p w14:paraId="6BB7DB10"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Client / Implementing Agency</w:t>
            </w:r>
          </w:p>
        </w:tc>
        <w:tc>
          <w:tcPr>
            <w:tcW w:w="7589" w:type="dxa"/>
            <w:tcMar>
              <w:top w:w="80" w:type="dxa"/>
              <w:left w:w="100" w:type="dxa"/>
              <w:bottom w:w="80" w:type="dxa"/>
              <w:right w:w="100" w:type="dxa"/>
            </w:tcMar>
            <w:vAlign w:val="center"/>
          </w:tcPr>
          <w:p w14:paraId="075BEA74"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Ministry of Public Works, Reconstruction and Housing (MoPWRH), through the MoPWRH Project Implementation Unit (MoPWRH-PIU)</w:t>
            </w:r>
          </w:p>
        </w:tc>
      </w:tr>
      <w:tr w:rsidR="00F00EE3" w:rsidRPr="00F00EE3" w14:paraId="7DE553EE" w14:textId="77777777" w:rsidTr="00F00EE3">
        <w:trPr>
          <w:trHeight w:val="726"/>
        </w:trPr>
        <w:tc>
          <w:tcPr>
            <w:tcW w:w="2460" w:type="dxa"/>
            <w:tcMar>
              <w:top w:w="80" w:type="dxa"/>
              <w:left w:w="100" w:type="dxa"/>
              <w:bottom w:w="80" w:type="dxa"/>
              <w:right w:w="100" w:type="dxa"/>
            </w:tcMar>
            <w:vAlign w:val="center"/>
          </w:tcPr>
          <w:p w14:paraId="261F8E6F"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Site</w:t>
            </w:r>
          </w:p>
        </w:tc>
        <w:tc>
          <w:tcPr>
            <w:tcW w:w="7589" w:type="dxa"/>
            <w:tcMar>
              <w:top w:w="80" w:type="dxa"/>
              <w:left w:w="100" w:type="dxa"/>
              <w:bottom w:w="80" w:type="dxa"/>
              <w:right w:w="100" w:type="dxa"/>
            </w:tcMar>
            <w:vAlign w:val="center"/>
          </w:tcPr>
          <w:p w14:paraId="23A7F817" w14:textId="634011C2" w:rsidR="005D5BAF" w:rsidRPr="00F00EE3" w:rsidRDefault="00000000">
            <w:pPr>
              <w:spacing w:after="40"/>
              <w:rPr>
                <w:rFonts w:ascii="Times New Roman" w:hAnsi="Times New Roman" w:cs="Times New Roman"/>
              </w:rPr>
            </w:pPr>
            <w:r>
              <w:rPr>
                <w:rFonts w:ascii="Times New Roman" w:hAnsi="Times New Roman" w:cs="Times New Roman"/>
                <w:sz w:val="20"/>
                <w:szCs w:val="20"/>
              </w:rPr>
              <w:t>Approx. 120 m x 50 m plot (approx. 6,000 m² / 0.6 ha)</w:t>
            </w:r>
          </w:p>
        </w:tc>
      </w:tr>
      <w:tr w:rsidR="00F00EE3" w:rsidRPr="00F00EE3" w14:paraId="23782473" w14:textId="77777777" w:rsidTr="00F00EE3">
        <w:trPr>
          <w:trHeight w:val="387"/>
        </w:trPr>
        <w:tc>
          <w:tcPr>
            <w:tcW w:w="2460" w:type="dxa"/>
            <w:tcMar>
              <w:top w:w="80" w:type="dxa"/>
              <w:left w:w="100" w:type="dxa"/>
              <w:bottom w:w="80" w:type="dxa"/>
              <w:right w:w="100" w:type="dxa"/>
            </w:tcMar>
            <w:vAlign w:val="center"/>
          </w:tcPr>
          <w:p w14:paraId="61D1DFE6"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Assignment type</w:t>
            </w:r>
          </w:p>
        </w:tc>
        <w:tc>
          <w:tcPr>
            <w:tcW w:w="7589" w:type="dxa"/>
            <w:tcMar>
              <w:top w:w="80" w:type="dxa"/>
              <w:left w:w="100" w:type="dxa"/>
              <w:bottom w:w="80" w:type="dxa"/>
              <w:right w:w="100" w:type="dxa"/>
            </w:tcMar>
            <w:vAlign w:val="center"/>
          </w:tcPr>
          <w:p w14:paraId="4B875FEF"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Firm-based consultancy (design + environmental and social due diligence)</w:t>
            </w:r>
          </w:p>
        </w:tc>
      </w:tr>
    </w:tbl>
    <w:p w14:paraId="3AC9821A" w14:textId="77777777" w:rsidR="005D5BAF" w:rsidRPr="00F00EE3" w:rsidRDefault="00000000">
      <w:pPr>
        <w:rPr>
          <w:rFonts w:ascii="Times New Roman" w:hAnsi="Times New Roman" w:cs="Times New Roman"/>
        </w:rPr>
      </w:pPr>
      <w:r>
        <w:rPr>
          <w:rFonts w:ascii="Times New Roman" w:hAnsi="Times New Roman" w:cs="Times New Roman"/>
        </w:rPr>
        <w:br w:type="page"/>
      </w:r>
    </w:p>
    <w:p w14:paraId="5F90EDE5" w14:textId="77777777" w:rsidR="005D5BAF" w:rsidRDefault="00000000" w:rsidP="00F00EE3">
      <w:pPr>
        <w:pStyle w:val="Heading1"/>
        <w:numPr>
          <w:ilvl w:val="0"/>
          <w:numId w:val="4"/>
        </w:numPr>
        <w:pBdr>
          <w:bottom w:val="single" w:sz="6" w:space="4" w:color="1F3864"/>
        </w:pBdr>
        <w:spacing w:before="320" w:after="160"/>
        <w:rPr>
          <w:rFonts w:ascii="Times New Roman" w:hAnsi="Times New Roman" w:cs="Times New Roman"/>
          <w:b/>
          <w:bCs/>
          <w:color w:val="auto"/>
          <w:sz w:val="26"/>
          <w:szCs w:val="26"/>
        </w:rPr>
      </w:pPr>
      <w:r>
        <w:rPr>
          <w:rFonts w:ascii="Times New Roman" w:hAnsi="Times New Roman" w:cs="Times New Roman"/>
          <w:b/>
          <w:bCs/>
          <w:color w:val="auto"/>
          <w:sz w:val="26"/>
          <w:szCs w:val="26"/>
        </w:rPr>
        <w:lastRenderedPageBreak/>
        <w:t>Background</w:t>
      </w:r>
    </w:p>
    <w:p w14:paraId="56034AD9" w14:textId="77777777" w:rsidR="005D5BAF" w:rsidRPr="00F00EE3" w:rsidRDefault="00000000">
      <w:pPr>
        <w:spacing w:after="160" w:line="276" w:lineRule="auto"/>
        <w:jc w:val="both"/>
        <w:rPr>
          <w:rFonts w:ascii="Times New Roman" w:hAnsi="Times New Roman" w:cs="Times New Roman"/>
        </w:rPr>
      </w:pPr>
      <w:r>
        <w:rPr>
          <w:rFonts w:ascii="Times New Roman" w:hAnsi="Times New Roman" w:cs="Times New Roman"/>
        </w:rPr>
        <w:t>The Government of the Federal Republic of Somalia, through the Ministries of Finance, Public Works, Reconstruction and Housing, and Transport and Civil Aviation, is implementing the Somalia Infrastructure Development for Access and Jobs, Phase 1 (P513127), the first phase of a World Bank-financed Multiphase Programmatic Approach (MPA). The Project Development Objective (PDO) is to increase access to resilient infrastructure and infrastructure sector jobs, and improve the capacity of select institutions.</w:t>
      </w:r>
    </w:p>
    <w:p w14:paraId="575B4CCF" w14:textId="77777777" w:rsidR="005D5BAF" w:rsidRPr="00F00EE3" w:rsidRDefault="00000000">
      <w:pPr>
        <w:spacing w:after="160" w:line="276" w:lineRule="auto"/>
        <w:jc w:val="both"/>
        <w:rPr>
          <w:rFonts w:ascii="Times New Roman" w:hAnsi="Times New Roman" w:cs="Times New Roman"/>
        </w:rPr>
      </w:pPr>
      <w:r>
        <w:rPr>
          <w:rFonts w:ascii="Times New Roman" w:hAnsi="Times New Roman" w:cs="Times New Roman"/>
        </w:rPr>
        <w:t>The Project is structured around three technical components aligned with the MPA pillars, plus a fourth component supporting implementation:</w:t>
      </w:r>
    </w:p>
    <w:p w14:paraId="649E8334"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Component 1: Resilient Infrastructure for Connectivity, Jobs, and Growth (air access, resilient urban drainage, and economic corridors);</w:t>
      </w:r>
    </w:p>
    <w:p w14:paraId="301C5236"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Component 2: Institutional Transformation and Human Capacity Building;</w:t>
      </w:r>
    </w:p>
    <w:p w14:paraId="498A9FCF"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Component 3: Contingent Emergency Response / preparation of subsequent phases; and</w:t>
      </w:r>
    </w:p>
    <w:p w14:paraId="662198E5"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Component 4: Project Implementation Support.</w:t>
      </w:r>
    </w:p>
    <w:p w14:paraId="31F37B15" w14:textId="77777777" w:rsidR="005D5BAF" w:rsidRPr="00F00EE3" w:rsidRDefault="00000000">
      <w:pPr>
        <w:spacing w:after="160" w:line="276" w:lineRule="auto"/>
        <w:jc w:val="both"/>
        <w:rPr>
          <w:rFonts w:ascii="Times New Roman" w:hAnsi="Times New Roman" w:cs="Times New Roman"/>
        </w:rPr>
      </w:pPr>
      <w:r>
        <w:rPr>
          <w:rFonts w:ascii="Times New Roman" w:hAnsi="Times New Roman" w:cs="Times New Roman"/>
        </w:rPr>
        <w:t>Component 2 supports institutional strengthening across the three implementing agencies – MoF, the Ministry of Transport and Civil Aviation (MoTCA), and the Ministry of Public Works, Reconstruction and Housing (MoPWRH). Sub-component 2.B (Construction and Engineering Capacity Building) finances, among other activities, technical assistance to MoPWRH covering: (a) preparation of an axle-load law; (b) strengthening of the Ministry's Management Information System (MIS); and (c) preparation of detailed design and E&amp;S assessments for a new MoPWRH headquarters building, the construction of which is expected to be financed under a future phase of the MPA.</w:t>
      </w:r>
    </w:p>
    <w:p w14:paraId="64C5B210" w14:textId="77777777" w:rsidR="005D5BAF" w:rsidRPr="00F00EE3" w:rsidRDefault="00000000">
      <w:pPr>
        <w:spacing w:after="160" w:line="276" w:lineRule="auto"/>
        <w:jc w:val="both"/>
        <w:rPr>
          <w:rFonts w:ascii="Times New Roman" w:hAnsi="Times New Roman" w:cs="Times New Roman"/>
        </w:rPr>
      </w:pPr>
      <w:r>
        <w:rPr>
          <w:rFonts w:ascii="Times New Roman" w:hAnsi="Times New Roman" w:cs="Times New Roman"/>
        </w:rPr>
        <w:t>MoPWRH currently operates from a rented house, which is neither purpose-built nor sustainable for a government ministry. This arrangement exposes the Ministry to recurring rental costs with no corresponding capital asset, constrains its ability to accommodate its full staff complement and expanding mandate and related infrastructure programs, and limits its capacity to provide adequate office, records/archive, meeting, and public-facing service space. Continued reliance on rented premises is not a durable long-term solution and creates ongoing budgetary and operational risk for the Ministry. The Ministry has therefore identified a plot of land measuring approximately 120 metres by 50 metres (approximately 6,000 m²) for the construction of a permanent, purpose-built headquarters building. This Terms of Reference (TOR) sets out the scope for a consultancy assignment to prepare the detailed engineering design and the associated environmental and social (E&amp;S) assessments required to bring this future investment to a bankable, World Bank ESF-compliant stage, ready for construction financing and procurement under a subsequent MPA phase.</w:t>
      </w:r>
    </w:p>
    <w:p w14:paraId="0F4CFD10" w14:textId="77777777" w:rsidR="00F00EE3" w:rsidRPr="00F00EE3" w:rsidRDefault="00000000" w:rsidP="00F00EE3">
      <w:pPr>
        <w:pStyle w:val="Heading1"/>
        <w:numPr>
          <w:ilvl w:val="0"/>
          <w:numId w:val="4"/>
        </w:numPr>
        <w:pBdr>
          <w:bottom w:val="single" w:sz="6" w:space="4" w:color="1F3864"/>
        </w:pBdr>
        <w:spacing w:before="320" w:after="160"/>
        <w:rPr>
          <w:rFonts w:ascii="Times New Roman" w:hAnsi="Times New Roman" w:cs="Times New Roman"/>
          <w:b/>
          <w:bCs/>
          <w:color w:val="auto"/>
          <w:sz w:val="26"/>
          <w:szCs w:val="26"/>
        </w:rPr>
      </w:pPr>
      <w:r>
        <w:rPr>
          <w:rFonts w:ascii="Times New Roman" w:hAnsi="Times New Roman" w:cs="Times New Roman"/>
          <w:b/>
          <w:bCs/>
          <w:color w:val="auto"/>
          <w:sz w:val="26"/>
          <w:szCs w:val="26"/>
        </w:rPr>
        <w:t>Objectives of the Assignment</w:t>
      </w:r>
    </w:p>
    <w:p w14:paraId="1794FBD9" w14:textId="77777777" w:rsidR="005D5BAF" w:rsidRPr="00F00EE3" w:rsidRDefault="00000000">
      <w:pPr>
        <w:spacing w:after="160" w:line="276" w:lineRule="auto"/>
        <w:jc w:val="both"/>
        <w:rPr>
          <w:rFonts w:ascii="Times New Roman" w:hAnsi="Times New Roman" w:cs="Times New Roman"/>
        </w:rPr>
      </w:pPr>
      <w:r>
        <w:rPr>
          <w:rFonts w:ascii="Times New Roman" w:hAnsi="Times New Roman" w:cs="Times New Roman"/>
        </w:rPr>
        <w:t>The overall objective of the assignment is to engage a qualified consulting firm to prepare a complete, construction-ready detailed design package and a World Bank Environmental and Social Framework (ESF)-compliant set of environmental and social instruments for the proposed new MoPWRH headquarters building, on the identified 120 m x 50 m plot.</w:t>
      </w:r>
    </w:p>
    <w:p w14:paraId="498E6DAD" w14:textId="77777777" w:rsidR="005D5BAF" w:rsidRPr="00F00EE3" w:rsidRDefault="00000000">
      <w:pPr>
        <w:spacing w:after="160" w:line="276" w:lineRule="auto"/>
        <w:jc w:val="both"/>
        <w:rPr>
          <w:rFonts w:ascii="Times New Roman" w:hAnsi="Times New Roman" w:cs="Times New Roman"/>
        </w:rPr>
      </w:pPr>
      <w:r>
        <w:rPr>
          <w:rFonts w:ascii="Times New Roman" w:hAnsi="Times New Roman" w:cs="Times New Roman"/>
        </w:rPr>
        <w:t>The specific objectives are to:</w:t>
      </w:r>
    </w:p>
    <w:p w14:paraId="78126860" w14:textId="77777777" w:rsidR="005D5BAF" w:rsidRPr="00F00EE3" w:rsidRDefault="00000000">
      <w:pPr>
        <w:pStyle w:val="ListParagraph"/>
        <w:numPr>
          <w:ilvl w:val="0"/>
          <w:numId w:val="3"/>
        </w:numPr>
        <w:spacing w:after="90" w:line="276" w:lineRule="auto"/>
        <w:jc w:val="both"/>
        <w:rPr>
          <w:rFonts w:ascii="Times New Roman" w:hAnsi="Times New Roman" w:cs="Times New Roman"/>
        </w:rPr>
      </w:pPr>
      <w:r>
        <w:rPr>
          <w:rFonts w:ascii="Times New Roman" w:hAnsi="Times New Roman" w:cs="Times New Roman"/>
        </w:rPr>
        <w:t>Confirm the suitability of the proposed site through topographic, geotechnical, and land tenure due diligence;</w:t>
      </w:r>
    </w:p>
    <w:p w14:paraId="753B259B" w14:textId="77777777" w:rsidR="005D5BAF" w:rsidRPr="00F00EE3" w:rsidRDefault="00000000">
      <w:pPr>
        <w:pStyle w:val="ListParagraph"/>
        <w:numPr>
          <w:ilvl w:val="0"/>
          <w:numId w:val="3"/>
        </w:numPr>
        <w:spacing w:after="90" w:line="276" w:lineRule="auto"/>
        <w:jc w:val="both"/>
        <w:rPr>
          <w:rFonts w:ascii="Times New Roman" w:hAnsi="Times New Roman" w:cs="Times New Roman"/>
        </w:rPr>
      </w:pPr>
      <w:r>
        <w:rPr>
          <w:rFonts w:ascii="Times New Roman" w:hAnsi="Times New Roman" w:cs="Times New Roman"/>
        </w:rPr>
        <w:t>Prepare a needs assessment and space programme reflecting MoPWRH's current and projected staffing, functional, and operational requirements;</w:t>
      </w:r>
    </w:p>
    <w:p w14:paraId="791E9960" w14:textId="77777777" w:rsidR="005D5BAF" w:rsidRPr="00F00EE3" w:rsidRDefault="00000000">
      <w:pPr>
        <w:pStyle w:val="ListParagraph"/>
        <w:numPr>
          <w:ilvl w:val="0"/>
          <w:numId w:val="3"/>
        </w:numPr>
        <w:spacing w:after="90" w:line="276" w:lineRule="auto"/>
        <w:jc w:val="both"/>
        <w:rPr>
          <w:rFonts w:ascii="Times New Roman" w:hAnsi="Times New Roman" w:cs="Times New Roman"/>
        </w:rPr>
      </w:pPr>
      <w:r>
        <w:rPr>
          <w:rFonts w:ascii="Times New Roman" w:hAnsi="Times New Roman" w:cs="Times New Roman"/>
        </w:rPr>
        <w:t>Produce detailed architectural, structural, civil, and mechanical/electrical/plumbing (MEP) designs, together with climate-resilient and disability-inclusive design features, in accordance with applicable national and international standards;</w:t>
      </w:r>
    </w:p>
    <w:p w14:paraId="25EEF1A3" w14:textId="77777777" w:rsidR="005D5BAF" w:rsidRPr="00F00EE3" w:rsidRDefault="00000000">
      <w:pPr>
        <w:pStyle w:val="ListParagraph"/>
        <w:numPr>
          <w:ilvl w:val="0"/>
          <w:numId w:val="3"/>
        </w:numPr>
        <w:spacing w:after="90" w:line="276" w:lineRule="auto"/>
        <w:jc w:val="both"/>
        <w:rPr>
          <w:rFonts w:ascii="Times New Roman" w:hAnsi="Times New Roman" w:cs="Times New Roman"/>
        </w:rPr>
      </w:pPr>
      <w:r>
        <w:rPr>
          <w:rFonts w:ascii="Times New Roman" w:hAnsi="Times New Roman" w:cs="Times New Roman"/>
        </w:rPr>
        <w:lastRenderedPageBreak/>
        <w:t>Prepare a detailed cost estimate, Bill of Quantities (BoQ), and complete tender/bidding documents suitable for competitive procurement of construction works under a future MPA phase;</w:t>
      </w:r>
    </w:p>
    <w:p w14:paraId="5AB8B422" w14:textId="77777777" w:rsidR="005D5BAF" w:rsidRPr="00F00EE3" w:rsidRDefault="00000000">
      <w:pPr>
        <w:pStyle w:val="ListParagraph"/>
        <w:numPr>
          <w:ilvl w:val="0"/>
          <w:numId w:val="3"/>
        </w:numPr>
        <w:spacing w:after="90" w:line="276" w:lineRule="auto"/>
        <w:jc w:val="both"/>
        <w:rPr>
          <w:rFonts w:ascii="Times New Roman" w:hAnsi="Times New Roman" w:cs="Times New Roman"/>
        </w:rPr>
      </w:pPr>
      <w:r>
        <w:rPr>
          <w:rFonts w:ascii="Times New Roman" w:hAnsi="Times New Roman" w:cs="Times New Roman"/>
        </w:rPr>
        <w:t>Prepare the environmental and social assessment instruments required under the World Bank ESF (including an Environmental and Social Impact Assessment (ESIA), Environmental and Social Management Plan (ESMP), and any resettlement, labor, stakeholder engagement, and health-and-safety instruments triggered by the proposed works), and support their consultation and disclosure; and</w:t>
      </w:r>
    </w:p>
    <w:p w14:paraId="7AE365D9" w14:textId="77777777" w:rsidR="005D5BAF" w:rsidRPr="00F00EE3" w:rsidRDefault="00000000">
      <w:pPr>
        <w:pStyle w:val="ListParagraph"/>
        <w:numPr>
          <w:ilvl w:val="0"/>
          <w:numId w:val="3"/>
        </w:numPr>
        <w:spacing w:after="90" w:line="276" w:lineRule="auto"/>
        <w:jc w:val="both"/>
        <w:rPr>
          <w:rFonts w:ascii="Times New Roman" w:hAnsi="Times New Roman" w:cs="Times New Roman"/>
        </w:rPr>
      </w:pPr>
      <w:r>
        <w:rPr>
          <w:rFonts w:ascii="Times New Roman" w:hAnsi="Times New Roman" w:cs="Times New Roman"/>
        </w:rPr>
        <w:t>Deliver a bankable design and safeguards package that meets the World Bank's no-objection requirements and positions the investment for construction financing under a future MPA phase.</w:t>
      </w:r>
    </w:p>
    <w:p w14:paraId="00C72C73" w14:textId="77777777" w:rsidR="00F00EE3" w:rsidRPr="00F00EE3" w:rsidRDefault="00000000" w:rsidP="00F00EE3">
      <w:pPr>
        <w:pStyle w:val="Heading1"/>
        <w:numPr>
          <w:ilvl w:val="0"/>
          <w:numId w:val="4"/>
        </w:numPr>
        <w:pBdr>
          <w:bottom w:val="single" w:sz="6" w:space="4" w:color="1F3864"/>
        </w:pBdr>
        <w:spacing w:before="320" w:after="160"/>
        <w:rPr>
          <w:rFonts w:ascii="Times New Roman" w:hAnsi="Times New Roman" w:cs="Times New Roman"/>
          <w:b/>
          <w:bCs/>
          <w:color w:val="auto"/>
          <w:sz w:val="26"/>
          <w:szCs w:val="26"/>
        </w:rPr>
      </w:pPr>
      <w:r>
        <w:rPr>
          <w:rFonts w:ascii="Times New Roman" w:hAnsi="Times New Roman" w:cs="Times New Roman"/>
          <w:b/>
          <w:bCs/>
          <w:color w:val="auto"/>
          <w:sz w:val="26"/>
          <w:szCs w:val="26"/>
        </w:rPr>
        <w:t>Scope of Services</w:t>
      </w:r>
    </w:p>
    <w:p w14:paraId="7400D991" w14:textId="77777777" w:rsidR="005D5BAF" w:rsidRPr="00F00EE3" w:rsidRDefault="00000000">
      <w:pPr>
        <w:spacing w:after="160" w:line="276" w:lineRule="auto"/>
        <w:jc w:val="both"/>
        <w:rPr>
          <w:rFonts w:ascii="Times New Roman" w:hAnsi="Times New Roman" w:cs="Times New Roman"/>
        </w:rPr>
      </w:pPr>
      <w:r>
        <w:rPr>
          <w:rFonts w:ascii="Times New Roman" w:hAnsi="Times New Roman" w:cs="Times New Roman"/>
        </w:rPr>
        <w:t>The assignment comprises five inter-related tasks. The Consultant is expected to work in close collaboration with MoPWRH and the MoPWRH-PIU.</w:t>
      </w:r>
    </w:p>
    <w:p w14:paraId="5FA78CCE" w14:textId="77777777" w:rsidR="005D5BAF" w:rsidRPr="00F00EE3" w:rsidRDefault="00000000">
      <w:pPr>
        <w:pStyle w:val="Heading2"/>
        <w:spacing w:before="240" w:after="120"/>
        <w:rPr>
          <w:rFonts w:ascii="Times New Roman" w:hAnsi="Times New Roman" w:cs="Times New Roman"/>
          <w:color w:val="auto"/>
        </w:rPr>
      </w:pPr>
      <w:r>
        <w:rPr>
          <w:rFonts w:ascii="Times New Roman" w:hAnsi="Times New Roman" w:cs="Times New Roman"/>
          <w:b/>
          <w:bCs/>
          <w:color w:val="auto"/>
          <w:sz w:val="23"/>
          <w:szCs w:val="23"/>
        </w:rPr>
        <w:t>Task 1: Inception, Site Investigation and Due Diligence</w:t>
      </w:r>
    </w:p>
    <w:p w14:paraId="39D1AD41"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Topographic survey of the 120 m x 50 m plot, including boundary verification, contours, existing structures, utilities, and access points;</w:t>
      </w:r>
    </w:p>
    <w:p w14:paraId="3BF0581A" w14:textId="77777777" w:rsidR="005D5BAF"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Geotechnical investigation (soil borings/test pits, bearing capacity, groundwater level) sufficient for structural foundation design;</w:t>
      </w:r>
    </w:p>
    <w:p w14:paraId="20B4971A" w14:textId="746A79EE" w:rsidR="00D450B1" w:rsidRPr="003B1A89" w:rsidRDefault="00D450B1" w:rsidP="00D450B1">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Assessment of seismic hazard, differential settlement risk, and implications for structural design in accordance with applicable international standards.</w:t>
      </w:r>
    </w:p>
    <w:p w14:paraId="0E70ADD9"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Verification of land tenure/ownership status, encumbrances, and absence of encroachment or competing claims;</w:t>
      </w:r>
    </w:p>
    <w:p w14:paraId="13CA0D7D" w14:textId="087E7AC6"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Review of flood, drainage, and other climate/hazard exposure including coastal hazard exposure at the site (Mogadishu and other Somali urban centres are exposed to intensifying flood and extreme-rainfall risk) and identification of implications for siting, elevation, and drainage design with climate change considerations;</w:t>
      </w:r>
    </w:p>
    <w:p w14:paraId="49743BF7"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Preparation of an Inception Report setting out the Consultant's understanding of the assignment, work plan, methodology, and staffing schedule.</w:t>
      </w:r>
    </w:p>
    <w:p w14:paraId="0B2D5E7B" w14:textId="77777777" w:rsidR="005D5BAF" w:rsidRPr="00F00EE3" w:rsidRDefault="00000000">
      <w:pPr>
        <w:pStyle w:val="Heading2"/>
        <w:spacing w:before="240" w:after="120"/>
        <w:rPr>
          <w:rFonts w:ascii="Times New Roman" w:hAnsi="Times New Roman" w:cs="Times New Roman"/>
          <w:color w:val="auto"/>
        </w:rPr>
      </w:pPr>
      <w:r>
        <w:rPr>
          <w:rFonts w:ascii="Times New Roman" w:hAnsi="Times New Roman" w:cs="Times New Roman"/>
          <w:b/>
          <w:bCs/>
          <w:color w:val="auto"/>
          <w:sz w:val="23"/>
          <w:szCs w:val="23"/>
        </w:rPr>
        <w:t>Task 2: Detailed Architectural and Engineering Design</w:t>
      </w:r>
    </w:p>
    <w:p w14:paraId="668E4FCD" w14:textId="4C508520"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Needs assessment and space programme, in consultation with MoPWRH departments, covering office space, meeting and conference facilities, records/archive space, public reception and service counters, parking, and future staffing growth projections and expansion allowance;</w:t>
      </w:r>
    </w:p>
    <w:p w14:paraId="7C98515F"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Concept and schematic design options (minimum two options) with massing, floor plans, and indicative elevations, for MoPWRH review and selection;</w:t>
      </w:r>
    </w:p>
    <w:p w14:paraId="7A76AAE9" w14:textId="77777777" w:rsidR="005D5BAF"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Detailed architectural design: floor plans, elevations, sections, and finishes schedules;</w:t>
      </w:r>
    </w:p>
    <w:p w14:paraId="3549D087" w14:textId="79A91DB0" w:rsidR="00704CEB" w:rsidRPr="00F00EE3" w:rsidRDefault="00704CEB">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Design brief documenting design criteria, codes, standards, assumptions, loading parameters, and methodologies adopted.;</w:t>
      </w:r>
    </w:p>
    <w:p w14:paraId="3587A129" w14:textId="45E806D0"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Detailed structural design: foundation, superstructure, and structural calculations, informed by the geotechnical investigation. Structural design shall include assessment of wind loading, seismic loading, durability design, and service-life considerations appropriate for a coastal environment;</w:t>
      </w:r>
    </w:p>
    <w:p w14:paraId="2F3E66C1" w14:textId="59E57650"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Detailed MEP design: electrical (including backup power/solar provision), plumbing and sanitation, HVAC, fire detection and suppression, and ICT/data infrastructure including structured cabling, server rooms, data centers, and communication systems;</w:t>
      </w:r>
    </w:p>
    <w:p w14:paraId="07F8D12F" w14:textId="738DE3EF"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External works design: site layout, vehicular and pedestrian access, parking, boundary wall/security features, landscaping, and stormwater drainage sized for site-specific and climate-adjusted rainfall intensities. Security risk informed design including perimeter protection, controlled access points, security buffer zone, CCTV coverage, security lighting, and integration of security infrastructure;</w:t>
      </w:r>
    </w:p>
    <w:p w14:paraId="6F7DAE18"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lastRenderedPageBreak/>
        <w:t>Universal accessibility features (ramps, accessible sanitary facilities, signage) in line with international accessible-design standards;</w:t>
      </w:r>
    </w:p>
    <w:p w14:paraId="438CCD7F" w14:textId="7C67B8B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Climate-resilient and energy-efficient design features (natural ventilation/lighting, passive cooling, solar-ready roof design, water harvesting, durable and locally available materials – incorporation of sustainable building principles) including evaluation of opportunities for green building certification; and</w:t>
      </w:r>
    </w:p>
    <w:p w14:paraId="0BB467DE" w14:textId="065AD82A" w:rsidR="005D5BAF"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Life and fire safety design, including emergency egress, firefighting access, water storage requirements, in line with applicable building and fire codes and international fire safety standards.</w:t>
      </w:r>
    </w:p>
    <w:p w14:paraId="45522DE6" w14:textId="1AB0C005" w:rsidR="00B95876" w:rsidRPr="00F00EE3" w:rsidRDefault="00B95876">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Preparation of operation and maintenance plan.</w:t>
      </w:r>
    </w:p>
    <w:p w14:paraId="23016440" w14:textId="77777777" w:rsidR="005D5BAF" w:rsidRPr="00F00EE3" w:rsidRDefault="00000000">
      <w:pPr>
        <w:pStyle w:val="Heading2"/>
        <w:spacing w:before="240" w:after="120"/>
        <w:rPr>
          <w:rFonts w:ascii="Times New Roman" w:hAnsi="Times New Roman" w:cs="Times New Roman"/>
          <w:color w:val="auto"/>
        </w:rPr>
      </w:pPr>
      <w:r>
        <w:rPr>
          <w:rFonts w:ascii="Times New Roman" w:hAnsi="Times New Roman" w:cs="Times New Roman"/>
          <w:b/>
          <w:bCs/>
          <w:color w:val="auto"/>
          <w:sz w:val="23"/>
          <w:szCs w:val="23"/>
        </w:rPr>
        <w:t>Task 3: Environmental and Social (E&amp;S) Assessment</w:t>
      </w:r>
    </w:p>
    <w:p w14:paraId="076FB25C" w14:textId="77777777" w:rsidR="005D5BAF" w:rsidRPr="00F00EE3" w:rsidRDefault="00000000">
      <w:pPr>
        <w:spacing w:after="160" w:line="276" w:lineRule="auto"/>
        <w:jc w:val="both"/>
        <w:rPr>
          <w:rFonts w:ascii="Times New Roman" w:hAnsi="Times New Roman" w:cs="Times New Roman"/>
        </w:rPr>
      </w:pPr>
      <w:r>
        <w:rPr>
          <w:rFonts w:ascii="Times New Roman" w:hAnsi="Times New Roman" w:cs="Times New Roman"/>
        </w:rPr>
        <w:t>The assignment will be carried out in accordance with the World Bank Environmental and Social Framework (ESF). Based on the Project's E&amp;S risk classification and the applicability screening undertaken for the wider Project, the following Environmental and Social Standards (ESS) are anticipated to be relevant to this activity and shall be addressed as applicable to the specific site and design: ESS1 (Assessment and Management of E&amp;S Risks and Impacts), ESS2 (Labor and Working Conditions), ESS3 (Resource Efficiency and Pollution Prevention and Management), ESS4 (Community Health and Safety), ESS5 (Land Acquisition, Restrictions on Land Use and Involuntary Resettlement), ESS6 (Biodiversity Conservation), ESS8 (Cultural Heritage), and ESS10 (Stakeholder Engagement and Information Disclosure). The Consultant shall confirm final applicability during the scoping stage, in agreement with MoPWRH and the World Bank.</w:t>
      </w:r>
    </w:p>
    <w:p w14:paraId="631A355B"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Screening and scoping to confirm the applicable ESSs and the required instruments for the specific site and design;</w:t>
      </w:r>
    </w:p>
    <w:p w14:paraId="7F7DDE43"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Preparation of a site-specific Environmental and Social Impact Assessment (ESIA), covering baseline conditions (physical, biological, and socio-economic), potential impacts of construction and operation, and analysis of alternatives;</w:t>
      </w:r>
    </w:p>
    <w:p w14:paraId="1AC4BA5C"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Preparation of an Environmental and Social Management Plan (ESMP), including mitigation measures, monitoring arrangements, institutional responsibilities, and cost estimates for E&amp;S mitigation;</w:t>
      </w:r>
    </w:p>
    <w:p w14:paraId="082E253B"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sidRPr="001C1DA6">
        <w:rPr>
          <w:rFonts w:ascii="Times New Roman" w:hAnsi="Times New Roman" w:cs="Times New Roman"/>
        </w:rPr>
        <w:t>Land tenure and resettlement due diligence that goes beyond documentary ownership verification to ensure a robust ESS5 determination, including: (i) review of any potential competing claims to the plot, whether statutory, customary or informal; (ii) identification of any informal use or occupation of the site (e.g., informal settlers, squatters, petty traders, grazing, parking or other livelihood uses); (iii) assessment of any encroachment on the plot and of access restrictions that the works may impose on adjacent landholders, residents or users; (iv) assessment of potential impacts on livelihoods, including economic displacement; (v) review of the historical occupation and use of the site, including any prior evictions or displacement; and (vi) assessment of land dispute risks. The due diligence shall be informed by site inspection and transect walks, review of land records held by MoPWRH, the Banadir Regional Administration and other relevant authorities, and consultation with local authorities, community elders, neighbouring residents and adjacent landholders, and shall be documented in a Land Due Diligence Report, including a clear ESS5 applicability determination; if</w:t>
      </w:r>
      <w:r>
        <w:rPr>
          <w:rFonts w:ascii="Times New Roman" w:hAnsi="Times New Roman" w:cs="Times New Roman"/>
        </w:rPr>
        <w:t xml:space="preserve"> any land acquisition, restriction of land use, or physical/economic displacement is identified, preparation of a Resettlement Action Plan (RAP) or Abbreviated RAP consistent with ESS5;</w:t>
      </w:r>
    </w:p>
    <w:p w14:paraId="6D56F8AF"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Preparation of site-specific Labor Management Procedures (LMP), addressing worker and community grievance mechanisms and labor influx risk;</w:t>
      </w:r>
    </w:p>
    <w:p w14:paraId="3C8F50E1"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Preparation of a Stakeholder Engagement Plan (SEP) covering consultation with MoPWRH staff, adjacent communities/landholders, and other stakeholders, and information disclosure requirements;</w:t>
      </w:r>
    </w:p>
    <w:p w14:paraId="611E9297"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Assessment of gender-based violence (GBV) and sexual exploitation, abuse and harassment (SEA/SH) risks associated with construction, and preparation of a corresponding action plan/mitigation measures, consistent with the wider Project's SEA/SH risk management approach;</w:t>
      </w:r>
    </w:p>
    <w:p w14:paraId="6CEA964D"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Preparation of a construction-phase Health and Safety Plan (community and occupational), including traffic management and emergency preparedness and response provisions;</w:t>
      </w:r>
    </w:p>
    <w:p w14:paraId="7E94F3F1"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lastRenderedPageBreak/>
        <w:t>Chance-find procedures for physical cultural resources, in line with ESS8; and</w:t>
      </w:r>
    </w:p>
    <w:p w14:paraId="335F5B03"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Support to MoPWRH/MoPWRH-PIU in the consultation, disclosure, and World Bank clearance of all E&amp;S instruments, in accordance with the Project's Environmental and Social Commitment Plan (ESCP).</w:t>
      </w:r>
    </w:p>
    <w:p w14:paraId="6C3362AC" w14:textId="77777777" w:rsidR="005D5BAF" w:rsidRPr="00F00EE3" w:rsidRDefault="00000000">
      <w:pPr>
        <w:pStyle w:val="Heading2"/>
        <w:spacing w:before="240" w:after="120"/>
        <w:rPr>
          <w:rFonts w:ascii="Times New Roman" w:hAnsi="Times New Roman" w:cs="Times New Roman"/>
          <w:color w:val="auto"/>
        </w:rPr>
      </w:pPr>
      <w:r>
        <w:rPr>
          <w:rFonts w:ascii="Times New Roman" w:hAnsi="Times New Roman" w:cs="Times New Roman"/>
          <w:b/>
          <w:bCs/>
          <w:color w:val="auto"/>
          <w:sz w:val="23"/>
          <w:szCs w:val="23"/>
        </w:rPr>
        <w:t>Task 4: Cost Estimation and Tender Documentation</w:t>
      </w:r>
    </w:p>
    <w:p w14:paraId="0A5D3F7F" w14:textId="7F6B6AF1" w:rsidR="005D5BAF" w:rsidRDefault="00DD37C8">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Detailed engineer's cost estimate, disaggregated by trade/element;</w:t>
      </w:r>
    </w:p>
    <w:p w14:paraId="07562F3E" w14:textId="337B5CDA" w:rsidR="00DD37C8" w:rsidRPr="00F00EE3" w:rsidRDefault="00DD37C8">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Operation and maintenance cost projections.</w:t>
      </w:r>
    </w:p>
    <w:p w14:paraId="3659AAE7"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Bill of Quantities (BoQ) prepared to a standard suitable for competitive bidding;</w:t>
      </w:r>
    </w:p>
    <w:p w14:paraId="28FE2980"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Technical specifications for all works packages;</w:t>
      </w:r>
    </w:p>
    <w:p w14:paraId="398AD536" w14:textId="5AFB67DF"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Complete bidding/tender documents (including drawings, technical specifications, BoQ, and draft contract conditions) suitable for use under the World Bank Procurement Regulations for IPF Borrowers, ready for use once construction financing is confirmed under a future MPA phase; and</w:t>
      </w:r>
    </w:p>
    <w:p w14:paraId="1E225DEC"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An implementation schedule and construction supervision plan outline for the future works contract.</w:t>
      </w:r>
    </w:p>
    <w:p w14:paraId="2779F064" w14:textId="77777777" w:rsidR="005D5BAF" w:rsidRPr="00F00EE3" w:rsidRDefault="00000000">
      <w:pPr>
        <w:pStyle w:val="Heading2"/>
        <w:spacing w:before="240" w:after="120"/>
        <w:rPr>
          <w:rFonts w:ascii="Times New Roman" w:hAnsi="Times New Roman" w:cs="Times New Roman"/>
          <w:color w:val="auto"/>
        </w:rPr>
      </w:pPr>
      <w:r>
        <w:rPr>
          <w:rFonts w:ascii="Times New Roman" w:hAnsi="Times New Roman" w:cs="Times New Roman"/>
          <w:b/>
          <w:bCs/>
          <w:color w:val="auto"/>
          <w:sz w:val="23"/>
          <w:szCs w:val="23"/>
        </w:rPr>
        <w:t>Task 5: Stakeholder Engagement, Review and Disclosure</w:t>
      </w:r>
    </w:p>
    <w:p w14:paraId="0C07F503"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Facilitation of at least two rounds of stakeholder consultation (design-stage and E&amp;S-instrument stage), with documented minutes, attendance (disaggregated by sex), and response to feedback;</w:t>
      </w:r>
    </w:p>
    <w:p w14:paraId="284F2EE9"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Presentation of the concept design, detailed design, and draft E&amp;S instruments to MoPWRH, MoPWRH-PIU,  and the World Bank at agreed milestones; and</w:t>
      </w:r>
    </w:p>
    <w:p w14:paraId="00C76AAE"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Incorporation of comments from MoPWRH, the World Bank, and consulted stakeholders into final deliverables prior to disclosure.</w:t>
      </w:r>
    </w:p>
    <w:p w14:paraId="7D543401" w14:textId="77777777" w:rsidR="00F00EE3" w:rsidRPr="00F00EE3" w:rsidRDefault="00000000" w:rsidP="00F00EE3">
      <w:pPr>
        <w:pStyle w:val="Heading1"/>
        <w:numPr>
          <w:ilvl w:val="0"/>
          <w:numId w:val="4"/>
        </w:numPr>
        <w:pBdr>
          <w:bottom w:val="single" w:sz="6" w:space="4" w:color="1F3864"/>
        </w:pBdr>
        <w:spacing w:before="320" w:after="160"/>
        <w:rPr>
          <w:rFonts w:ascii="Times New Roman" w:hAnsi="Times New Roman" w:cs="Times New Roman"/>
          <w:b/>
          <w:bCs/>
          <w:color w:val="auto"/>
          <w:sz w:val="26"/>
          <w:szCs w:val="26"/>
        </w:rPr>
      </w:pPr>
      <w:r>
        <w:rPr>
          <w:rFonts w:ascii="Times New Roman" w:hAnsi="Times New Roman" w:cs="Times New Roman"/>
          <w:b/>
          <w:bCs/>
          <w:color w:val="auto"/>
          <w:sz w:val="26"/>
          <w:szCs w:val="26"/>
        </w:rPr>
        <w:t>Site Information</w:t>
      </w:r>
    </w:p>
    <w:p w14:paraId="225BFD4E" w14:textId="77777777" w:rsidR="005D5BAF" w:rsidRPr="00F00EE3" w:rsidRDefault="00000000">
      <w:pPr>
        <w:spacing w:after="160" w:line="276" w:lineRule="auto"/>
        <w:jc w:val="both"/>
        <w:rPr>
          <w:rFonts w:ascii="Times New Roman" w:hAnsi="Times New Roman" w:cs="Times New Roman"/>
        </w:rPr>
      </w:pPr>
      <w:r>
        <w:rPr>
          <w:rFonts w:ascii="Times New Roman" w:hAnsi="Times New Roman" w:cs="Times New Roman"/>
        </w:rPr>
        <w:t>The following site parameters are provided as a starting reference; the Consultant shall verify all data during Task 1 and update it as required:</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200"/>
      </w:tblGrid>
      <w:tr w:rsidR="00F00EE3" w:rsidRPr="00F00EE3" w14:paraId="7A55F7B4" w14:textId="77777777" w:rsidTr="00F00EE3">
        <w:trPr>
          <w:tblHeader/>
        </w:trPr>
        <w:tc>
          <w:tcPr>
            <w:tcW w:w="2600" w:type="dxa"/>
            <w:tcMar>
              <w:top w:w="80" w:type="dxa"/>
              <w:left w:w="100" w:type="dxa"/>
              <w:bottom w:w="80" w:type="dxa"/>
              <w:right w:w="100" w:type="dxa"/>
            </w:tcMar>
            <w:vAlign w:val="center"/>
          </w:tcPr>
          <w:p w14:paraId="3E1170C7" w14:textId="77777777" w:rsidR="005D5BAF" w:rsidRPr="00F00EE3" w:rsidRDefault="00000000">
            <w:pPr>
              <w:spacing w:after="40"/>
              <w:rPr>
                <w:rFonts w:ascii="Times New Roman" w:hAnsi="Times New Roman" w:cs="Times New Roman"/>
              </w:rPr>
            </w:pPr>
            <w:r>
              <w:rPr>
                <w:rFonts w:ascii="Times New Roman" w:hAnsi="Times New Roman" w:cs="Times New Roman"/>
                <w:b/>
                <w:bCs/>
                <w:sz w:val="20"/>
                <w:szCs w:val="20"/>
              </w:rPr>
              <w:t>Parameter</w:t>
            </w:r>
          </w:p>
        </w:tc>
        <w:tc>
          <w:tcPr>
            <w:tcW w:w="7200" w:type="dxa"/>
            <w:tcMar>
              <w:top w:w="80" w:type="dxa"/>
              <w:left w:w="100" w:type="dxa"/>
              <w:bottom w:w="80" w:type="dxa"/>
              <w:right w:w="100" w:type="dxa"/>
            </w:tcMar>
            <w:vAlign w:val="center"/>
          </w:tcPr>
          <w:p w14:paraId="3E205B29" w14:textId="77777777" w:rsidR="005D5BAF" w:rsidRPr="00F00EE3" w:rsidRDefault="00000000">
            <w:pPr>
              <w:spacing w:after="40"/>
              <w:rPr>
                <w:rFonts w:ascii="Times New Roman" w:hAnsi="Times New Roman" w:cs="Times New Roman"/>
              </w:rPr>
            </w:pPr>
            <w:r>
              <w:rPr>
                <w:rFonts w:ascii="Times New Roman" w:hAnsi="Times New Roman" w:cs="Times New Roman"/>
                <w:b/>
                <w:bCs/>
                <w:sz w:val="20"/>
                <w:szCs w:val="20"/>
              </w:rPr>
              <w:t>Description</w:t>
            </w:r>
          </w:p>
        </w:tc>
      </w:tr>
      <w:tr w:rsidR="00F00EE3" w:rsidRPr="00F00EE3" w14:paraId="4CE644A9" w14:textId="77777777" w:rsidTr="00F00EE3">
        <w:tc>
          <w:tcPr>
            <w:tcW w:w="2600" w:type="dxa"/>
            <w:tcMar>
              <w:top w:w="80" w:type="dxa"/>
              <w:left w:w="100" w:type="dxa"/>
              <w:bottom w:w="80" w:type="dxa"/>
              <w:right w:w="100" w:type="dxa"/>
            </w:tcMar>
            <w:vAlign w:val="center"/>
          </w:tcPr>
          <w:p w14:paraId="4F0C9CFD"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Plot dimensions</w:t>
            </w:r>
          </w:p>
        </w:tc>
        <w:tc>
          <w:tcPr>
            <w:tcW w:w="7200" w:type="dxa"/>
            <w:tcMar>
              <w:top w:w="80" w:type="dxa"/>
              <w:left w:w="100" w:type="dxa"/>
              <w:bottom w:w="80" w:type="dxa"/>
              <w:right w:w="100" w:type="dxa"/>
            </w:tcMar>
            <w:vAlign w:val="center"/>
          </w:tcPr>
          <w:p w14:paraId="31EF85A1"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Approximately 120 m x 50 m</w:t>
            </w:r>
          </w:p>
        </w:tc>
      </w:tr>
      <w:tr w:rsidR="00F00EE3" w:rsidRPr="00F00EE3" w14:paraId="223A7232" w14:textId="77777777" w:rsidTr="00F00EE3">
        <w:tc>
          <w:tcPr>
            <w:tcW w:w="2600" w:type="dxa"/>
            <w:tcMar>
              <w:top w:w="80" w:type="dxa"/>
              <w:left w:w="100" w:type="dxa"/>
              <w:bottom w:w="80" w:type="dxa"/>
              <w:right w:w="100" w:type="dxa"/>
            </w:tcMar>
            <w:vAlign w:val="center"/>
          </w:tcPr>
          <w:p w14:paraId="38E4D2B3"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Plot area</w:t>
            </w:r>
          </w:p>
        </w:tc>
        <w:tc>
          <w:tcPr>
            <w:tcW w:w="7200" w:type="dxa"/>
            <w:tcMar>
              <w:top w:w="80" w:type="dxa"/>
              <w:left w:w="100" w:type="dxa"/>
              <w:bottom w:w="80" w:type="dxa"/>
              <w:right w:w="100" w:type="dxa"/>
            </w:tcMar>
            <w:vAlign w:val="center"/>
          </w:tcPr>
          <w:p w14:paraId="3D73E58F"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Approximately 6,000 m² (0.6 ha)</w:t>
            </w:r>
          </w:p>
        </w:tc>
      </w:tr>
      <w:tr w:rsidR="00F00EE3" w:rsidRPr="00F00EE3" w14:paraId="13F1D5B4" w14:textId="77777777" w:rsidTr="00F00EE3">
        <w:tc>
          <w:tcPr>
            <w:tcW w:w="2600" w:type="dxa"/>
            <w:tcMar>
              <w:top w:w="80" w:type="dxa"/>
              <w:left w:w="100" w:type="dxa"/>
              <w:bottom w:w="80" w:type="dxa"/>
              <w:right w:w="100" w:type="dxa"/>
            </w:tcMar>
            <w:vAlign w:val="center"/>
          </w:tcPr>
          <w:p w14:paraId="373BBA70"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Location</w:t>
            </w:r>
          </w:p>
        </w:tc>
        <w:tc>
          <w:tcPr>
            <w:tcW w:w="7200" w:type="dxa"/>
            <w:tcMar>
              <w:top w:w="80" w:type="dxa"/>
              <w:left w:w="100" w:type="dxa"/>
              <w:bottom w:w="80" w:type="dxa"/>
              <w:right w:w="100" w:type="dxa"/>
            </w:tcMar>
            <w:vAlign w:val="center"/>
          </w:tcPr>
          <w:p w14:paraId="096C1F1A" w14:textId="77777777" w:rsidR="005D5BAF" w:rsidRPr="00F00EE3" w:rsidRDefault="00F00EE3">
            <w:pPr>
              <w:spacing w:after="40"/>
              <w:rPr>
                <w:rFonts w:ascii="Times New Roman" w:hAnsi="Times New Roman" w:cs="Times New Roman"/>
              </w:rPr>
            </w:pPr>
            <w:r>
              <w:rPr>
                <w:rFonts w:ascii="Times New Roman" w:hAnsi="Times New Roman" w:cs="Times New Roman"/>
                <w:sz w:val="20"/>
                <w:szCs w:val="20"/>
              </w:rPr>
              <w:t>Shangani District, Mogadishu.</w:t>
            </w:r>
          </w:p>
        </w:tc>
      </w:tr>
      <w:tr w:rsidR="00F00EE3" w:rsidRPr="00F00EE3" w14:paraId="6F7CE661" w14:textId="77777777" w:rsidTr="00F00EE3">
        <w:tc>
          <w:tcPr>
            <w:tcW w:w="2600" w:type="dxa"/>
            <w:tcMar>
              <w:top w:w="80" w:type="dxa"/>
              <w:left w:w="100" w:type="dxa"/>
              <w:bottom w:w="80" w:type="dxa"/>
              <w:right w:w="100" w:type="dxa"/>
            </w:tcMar>
            <w:vAlign w:val="center"/>
          </w:tcPr>
          <w:p w14:paraId="3FA02924"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Current land use</w:t>
            </w:r>
          </w:p>
        </w:tc>
        <w:tc>
          <w:tcPr>
            <w:tcW w:w="7200" w:type="dxa"/>
            <w:tcMar>
              <w:top w:w="80" w:type="dxa"/>
              <w:left w:w="100" w:type="dxa"/>
              <w:bottom w:w="80" w:type="dxa"/>
              <w:right w:w="100" w:type="dxa"/>
            </w:tcMar>
            <w:vAlign w:val="center"/>
          </w:tcPr>
          <w:p w14:paraId="7E57203E" w14:textId="77777777" w:rsidR="005D5BAF" w:rsidRPr="00F00EE3" w:rsidRDefault="00F00EE3">
            <w:pPr>
              <w:spacing w:after="40"/>
              <w:rPr>
                <w:rFonts w:ascii="Times New Roman" w:hAnsi="Times New Roman" w:cs="Times New Roman"/>
              </w:rPr>
            </w:pPr>
            <w:r>
              <w:rPr>
                <w:rFonts w:ascii="Times New Roman" w:hAnsi="Times New Roman" w:cs="Times New Roman"/>
                <w:sz w:val="20"/>
                <w:szCs w:val="20"/>
              </w:rPr>
              <w:t xml:space="preserve">Vacant </w:t>
            </w:r>
          </w:p>
        </w:tc>
      </w:tr>
      <w:tr w:rsidR="00F00EE3" w:rsidRPr="00F00EE3" w14:paraId="794C3F3B" w14:textId="77777777" w:rsidTr="00F00EE3">
        <w:tc>
          <w:tcPr>
            <w:tcW w:w="2600" w:type="dxa"/>
            <w:tcMar>
              <w:top w:w="80" w:type="dxa"/>
              <w:left w:w="100" w:type="dxa"/>
              <w:bottom w:w="80" w:type="dxa"/>
              <w:right w:w="100" w:type="dxa"/>
            </w:tcMar>
            <w:vAlign w:val="center"/>
          </w:tcPr>
          <w:p w14:paraId="259EFAD2"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Land tenure status</w:t>
            </w:r>
          </w:p>
        </w:tc>
        <w:tc>
          <w:tcPr>
            <w:tcW w:w="7200" w:type="dxa"/>
            <w:tcMar>
              <w:top w:w="80" w:type="dxa"/>
              <w:left w:w="100" w:type="dxa"/>
              <w:bottom w:w="80" w:type="dxa"/>
              <w:right w:w="100" w:type="dxa"/>
            </w:tcMar>
            <w:vAlign w:val="center"/>
          </w:tcPr>
          <w:p w14:paraId="5F090D33"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documentary evidence of MoPWRH/Government ownership is attached.</w:t>
            </w:r>
          </w:p>
        </w:tc>
      </w:tr>
      <w:tr w:rsidR="00F00EE3" w:rsidRPr="00F00EE3" w14:paraId="24B585AD" w14:textId="77777777" w:rsidTr="00F00EE3">
        <w:tc>
          <w:tcPr>
            <w:tcW w:w="2600" w:type="dxa"/>
            <w:tcMar>
              <w:top w:w="80" w:type="dxa"/>
              <w:left w:w="100" w:type="dxa"/>
              <w:bottom w:w="80" w:type="dxa"/>
              <w:right w:w="100" w:type="dxa"/>
            </w:tcMar>
            <w:vAlign w:val="center"/>
          </w:tcPr>
          <w:p w14:paraId="7D22B53D"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Access</w:t>
            </w:r>
          </w:p>
        </w:tc>
        <w:tc>
          <w:tcPr>
            <w:tcW w:w="7200" w:type="dxa"/>
            <w:tcMar>
              <w:top w:w="80" w:type="dxa"/>
              <w:left w:w="100" w:type="dxa"/>
              <w:bottom w:w="80" w:type="dxa"/>
              <w:right w:w="100" w:type="dxa"/>
            </w:tcMar>
            <w:vAlign w:val="center"/>
          </w:tcPr>
          <w:p w14:paraId="378FDA46" w14:textId="56F29CC1" w:rsidR="005D5BAF" w:rsidRPr="00F00EE3" w:rsidRDefault="00F00EE3">
            <w:pPr>
              <w:spacing w:after="40"/>
              <w:rPr>
                <w:rFonts w:ascii="Times New Roman" w:hAnsi="Times New Roman" w:cs="Times New Roman"/>
              </w:rPr>
            </w:pPr>
            <w:r>
              <w:rPr>
                <w:rFonts w:ascii="Times New Roman" w:hAnsi="Times New Roman" w:cs="Times New Roman"/>
                <w:sz w:val="20"/>
                <w:szCs w:val="20"/>
              </w:rPr>
              <w:t>There is existing road access that is considered  adequate for construction traffic.</w:t>
            </w:r>
          </w:p>
        </w:tc>
      </w:tr>
      <w:tr w:rsidR="00F00EE3" w:rsidRPr="00F00EE3" w14:paraId="2286C838" w14:textId="77777777" w:rsidTr="00F00EE3">
        <w:tc>
          <w:tcPr>
            <w:tcW w:w="2600" w:type="dxa"/>
            <w:tcMar>
              <w:top w:w="80" w:type="dxa"/>
              <w:left w:w="100" w:type="dxa"/>
              <w:bottom w:w="80" w:type="dxa"/>
              <w:right w:w="100" w:type="dxa"/>
            </w:tcMar>
            <w:vAlign w:val="center"/>
          </w:tcPr>
          <w:p w14:paraId="62D5F3F2"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Utilities</w:t>
            </w:r>
          </w:p>
        </w:tc>
        <w:tc>
          <w:tcPr>
            <w:tcW w:w="7200" w:type="dxa"/>
            <w:tcMar>
              <w:top w:w="80" w:type="dxa"/>
              <w:left w:w="100" w:type="dxa"/>
              <w:bottom w:w="80" w:type="dxa"/>
              <w:right w:w="100" w:type="dxa"/>
            </w:tcMar>
            <w:vAlign w:val="center"/>
          </w:tcPr>
          <w:p w14:paraId="44FC6A4C"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Availability of grid power, water supply, and telecommunications.</w:t>
            </w:r>
          </w:p>
        </w:tc>
      </w:tr>
    </w:tbl>
    <w:p w14:paraId="27BBC152" w14:textId="77777777" w:rsidR="00F00EE3" w:rsidRPr="00F00EE3" w:rsidRDefault="00000000" w:rsidP="00F00EE3">
      <w:pPr>
        <w:pStyle w:val="Heading1"/>
        <w:numPr>
          <w:ilvl w:val="0"/>
          <w:numId w:val="4"/>
        </w:numPr>
        <w:pBdr>
          <w:bottom w:val="single" w:sz="6" w:space="4" w:color="1F3864"/>
        </w:pBdr>
        <w:spacing w:before="320" w:after="160"/>
        <w:rPr>
          <w:rFonts w:ascii="Times New Roman" w:hAnsi="Times New Roman" w:cs="Times New Roman"/>
          <w:b/>
          <w:bCs/>
          <w:color w:val="auto"/>
          <w:sz w:val="26"/>
          <w:szCs w:val="26"/>
        </w:rPr>
      </w:pPr>
      <w:r>
        <w:rPr>
          <w:rFonts w:ascii="Times New Roman" w:hAnsi="Times New Roman" w:cs="Times New Roman"/>
          <w:b/>
          <w:bCs/>
          <w:color w:val="auto"/>
          <w:sz w:val="26"/>
          <w:szCs w:val="26"/>
        </w:rPr>
        <w:t>Applicable Standards, Guidelines and Legal Framework</w:t>
      </w:r>
    </w:p>
    <w:p w14:paraId="68F42A5F"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World Bank Environmental and Social Framework (ESF), including the ten Environmental and Social Standards (ESS1–10) and associated Guidance Notes;</w:t>
      </w:r>
    </w:p>
    <w:p w14:paraId="7A0A7891"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World Bank Group Environmental, Health and Safety (EHS) General Guidelines and applicable industry-sector EHS Guidelines;</w:t>
      </w:r>
    </w:p>
    <w:p w14:paraId="7EC04EC1"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World Bank Procurement Regulations for IPF Borrowers (as amended);</w:t>
      </w:r>
    </w:p>
    <w:p w14:paraId="329A3A86"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lastRenderedPageBreak/>
        <w:t>Applicable national building, structural, fire, and electrical codes of the Federal Republic of Somalia; where national standards are absent or incomplete, internationally recognized codes (e.g., relevant Eurocodes, British Standards, or other codes acceptable to MoPWRH and the World Bank) shall be applied, consistent with the approach taken elsewhere in the Project for design standards;</w:t>
      </w:r>
    </w:p>
    <w:p w14:paraId="61C3FC9F"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International accessibility/universal design standards for public buildings;</w:t>
      </w:r>
    </w:p>
    <w:p w14:paraId="36BF46B7"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The Project's Environmental and Social Commitment Plan (ESCP), Stakeholder Engagement Plan (SEP), and Project Operations Manual (POM); and</w:t>
      </w:r>
    </w:p>
    <w:p w14:paraId="6308A3FC"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Any land, planning, and environmental legislation of the Federal Republic of Somalia applicable to the site and to public building development.</w:t>
      </w:r>
    </w:p>
    <w:p w14:paraId="5D87DBA7" w14:textId="77777777" w:rsidR="00F00EE3" w:rsidRPr="00F00EE3" w:rsidRDefault="00000000" w:rsidP="00F00EE3">
      <w:pPr>
        <w:pStyle w:val="Heading1"/>
        <w:numPr>
          <w:ilvl w:val="0"/>
          <w:numId w:val="4"/>
        </w:numPr>
        <w:pBdr>
          <w:bottom w:val="single" w:sz="6" w:space="4" w:color="1F3864"/>
        </w:pBdr>
        <w:spacing w:before="320" w:after="160"/>
        <w:rPr>
          <w:rFonts w:ascii="Times New Roman" w:hAnsi="Times New Roman" w:cs="Times New Roman"/>
          <w:b/>
          <w:bCs/>
          <w:color w:val="auto"/>
          <w:sz w:val="26"/>
          <w:szCs w:val="26"/>
        </w:rPr>
      </w:pPr>
      <w:r>
        <w:rPr>
          <w:rFonts w:ascii="Times New Roman" w:hAnsi="Times New Roman" w:cs="Times New Roman"/>
          <w:b/>
          <w:bCs/>
          <w:color w:val="auto"/>
          <w:sz w:val="26"/>
          <w:szCs w:val="26"/>
        </w:rPr>
        <w:t>Deliverables and Indicative Timeline</w:t>
      </w:r>
    </w:p>
    <w:p w14:paraId="40027F18" w14:textId="77777777" w:rsidR="005D5BAF" w:rsidRPr="00F00EE3" w:rsidRDefault="00000000">
      <w:pPr>
        <w:spacing w:after="160" w:line="276" w:lineRule="auto"/>
        <w:jc w:val="both"/>
        <w:rPr>
          <w:rFonts w:ascii="Times New Roman" w:hAnsi="Times New Roman" w:cs="Times New Roman"/>
        </w:rPr>
      </w:pPr>
      <w:r>
        <w:rPr>
          <w:rFonts w:ascii="Times New Roman" w:hAnsi="Times New Roman" w:cs="Times New Roman"/>
        </w:rPr>
        <w:t>The assignment is expected to be delivered over an indicative period of six (6) months from contract commencement (“Month 0”). The schedule below is indicative and shall be finalized and agreed with MoPWRH at inception.</w:t>
      </w: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6300"/>
        <w:gridCol w:w="1800"/>
      </w:tblGrid>
      <w:tr w:rsidR="00F00EE3" w:rsidRPr="00F00EE3" w14:paraId="211DA295" w14:textId="77777777" w:rsidTr="00F00EE3">
        <w:trPr>
          <w:tblHeader/>
        </w:trPr>
        <w:tc>
          <w:tcPr>
            <w:tcW w:w="700" w:type="dxa"/>
            <w:tcMar>
              <w:top w:w="80" w:type="dxa"/>
              <w:left w:w="100" w:type="dxa"/>
              <w:bottom w:w="80" w:type="dxa"/>
              <w:right w:w="100" w:type="dxa"/>
            </w:tcMar>
            <w:vAlign w:val="center"/>
          </w:tcPr>
          <w:p w14:paraId="3AD28500" w14:textId="77777777" w:rsidR="005D5BAF" w:rsidRPr="00F00EE3" w:rsidRDefault="00000000">
            <w:pPr>
              <w:spacing w:after="40"/>
              <w:rPr>
                <w:rFonts w:ascii="Times New Roman" w:hAnsi="Times New Roman" w:cs="Times New Roman"/>
              </w:rPr>
            </w:pPr>
            <w:r>
              <w:rPr>
                <w:rFonts w:ascii="Times New Roman" w:hAnsi="Times New Roman" w:cs="Times New Roman"/>
                <w:b/>
                <w:bCs/>
                <w:sz w:val="20"/>
                <w:szCs w:val="20"/>
              </w:rPr>
              <w:t>#</w:t>
            </w:r>
          </w:p>
        </w:tc>
        <w:tc>
          <w:tcPr>
            <w:tcW w:w="6300" w:type="dxa"/>
            <w:tcMar>
              <w:top w:w="80" w:type="dxa"/>
              <w:left w:w="100" w:type="dxa"/>
              <w:bottom w:w="80" w:type="dxa"/>
              <w:right w:w="100" w:type="dxa"/>
            </w:tcMar>
            <w:vAlign w:val="center"/>
          </w:tcPr>
          <w:p w14:paraId="39451D34" w14:textId="77777777" w:rsidR="005D5BAF" w:rsidRPr="00F00EE3" w:rsidRDefault="00000000">
            <w:pPr>
              <w:spacing w:after="40"/>
              <w:rPr>
                <w:rFonts w:ascii="Times New Roman" w:hAnsi="Times New Roman" w:cs="Times New Roman"/>
              </w:rPr>
            </w:pPr>
            <w:r>
              <w:rPr>
                <w:rFonts w:ascii="Times New Roman" w:hAnsi="Times New Roman" w:cs="Times New Roman"/>
                <w:b/>
                <w:bCs/>
                <w:sz w:val="20"/>
                <w:szCs w:val="20"/>
              </w:rPr>
              <w:t>Deliverable</w:t>
            </w:r>
          </w:p>
        </w:tc>
        <w:tc>
          <w:tcPr>
            <w:tcW w:w="1800" w:type="dxa"/>
            <w:tcMar>
              <w:top w:w="80" w:type="dxa"/>
              <w:left w:w="100" w:type="dxa"/>
              <w:bottom w:w="80" w:type="dxa"/>
              <w:right w:w="100" w:type="dxa"/>
            </w:tcMar>
            <w:vAlign w:val="center"/>
          </w:tcPr>
          <w:p w14:paraId="2B7E2351" w14:textId="7093978E" w:rsidR="005D5BAF" w:rsidRPr="00F00EE3" w:rsidRDefault="00000000">
            <w:pPr>
              <w:spacing w:after="40"/>
              <w:rPr>
                <w:rFonts w:ascii="Times New Roman" w:hAnsi="Times New Roman" w:cs="Times New Roman"/>
              </w:rPr>
            </w:pPr>
            <w:r>
              <w:rPr>
                <w:rFonts w:ascii="Times New Roman" w:hAnsi="Times New Roman" w:cs="Times New Roman"/>
                <w:b/>
                <w:bCs/>
                <w:sz w:val="20"/>
                <w:szCs w:val="20"/>
              </w:rPr>
              <w:t>Indicative Timing after commencement</w:t>
            </w:r>
          </w:p>
        </w:tc>
      </w:tr>
      <w:tr w:rsidR="00F00EE3" w:rsidRPr="00F00EE3" w14:paraId="0B554B22" w14:textId="77777777" w:rsidTr="00F00EE3">
        <w:tc>
          <w:tcPr>
            <w:tcW w:w="700" w:type="dxa"/>
            <w:tcMar>
              <w:top w:w="80" w:type="dxa"/>
              <w:left w:w="100" w:type="dxa"/>
              <w:bottom w:w="80" w:type="dxa"/>
              <w:right w:w="100" w:type="dxa"/>
            </w:tcMar>
            <w:vAlign w:val="center"/>
          </w:tcPr>
          <w:p w14:paraId="08F304E6"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1</w:t>
            </w:r>
          </w:p>
        </w:tc>
        <w:tc>
          <w:tcPr>
            <w:tcW w:w="6300" w:type="dxa"/>
            <w:tcMar>
              <w:top w:w="80" w:type="dxa"/>
              <w:left w:w="100" w:type="dxa"/>
              <w:bottom w:w="80" w:type="dxa"/>
              <w:right w:w="100" w:type="dxa"/>
            </w:tcMar>
            <w:vAlign w:val="center"/>
          </w:tcPr>
          <w:p w14:paraId="6E0FAC11"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Inception Report (work plan, methodology, staffing schedule)</w:t>
            </w:r>
          </w:p>
        </w:tc>
        <w:tc>
          <w:tcPr>
            <w:tcW w:w="1800" w:type="dxa"/>
            <w:tcMar>
              <w:top w:w="80" w:type="dxa"/>
              <w:left w:w="100" w:type="dxa"/>
              <w:bottom w:w="80" w:type="dxa"/>
              <w:right w:w="100" w:type="dxa"/>
            </w:tcMar>
            <w:vAlign w:val="center"/>
          </w:tcPr>
          <w:p w14:paraId="6A48F113" w14:textId="34748609" w:rsidR="005D5BAF" w:rsidRPr="00F00EE3" w:rsidRDefault="00000000">
            <w:pPr>
              <w:spacing w:after="40"/>
              <w:rPr>
                <w:rFonts w:ascii="Times New Roman" w:hAnsi="Times New Roman" w:cs="Times New Roman"/>
              </w:rPr>
            </w:pPr>
            <w:r>
              <w:rPr>
                <w:rFonts w:ascii="Times New Roman" w:hAnsi="Times New Roman" w:cs="Times New Roman"/>
                <w:sz w:val="20"/>
                <w:szCs w:val="20"/>
              </w:rPr>
              <w:t>2 weeks</w:t>
            </w:r>
          </w:p>
        </w:tc>
      </w:tr>
      <w:tr w:rsidR="00F00EE3" w:rsidRPr="00F00EE3" w14:paraId="43D2AAE7" w14:textId="77777777" w:rsidTr="00F00EE3">
        <w:tc>
          <w:tcPr>
            <w:tcW w:w="700" w:type="dxa"/>
            <w:tcMar>
              <w:top w:w="80" w:type="dxa"/>
              <w:left w:w="100" w:type="dxa"/>
              <w:bottom w:w="80" w:type="dxa"/>
              <w:right w:w="100" w:type="dxa"/>
            </w:tcMar>
            <w:vAlign w:val="center"/>
          </w:tcPr>
          <w:p w14:paraId="62301A09"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2</w:t>
            </w:r>
          </w:p>
        </w:tc>
        <w:tc>
          <w:tcPr>
            <w:tcW w:w="6300" w:type="dxa"/>
            <w:tcMar>
              <w:top w:w="80" w:type="dxa"/>
              <w:left w:w="100" w:type="dxa"/>
              <w:bottom w:w="80" w:type="dxa"/>
              <w:right w:w="100" w:type="dxa"/>
            </w:tcMar>
            <w:vAlign w:val="center"/>
          </w:tcPr>
          <w:p w14:paraId="6A63BE6F"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Site Investigation Report (topographic survey, geotechnical investigation, land tenure due diligence)</w:t>
            </w:r>
          </w:p>
        </w:tc>
        <w:tc>
          <w:tcPr>
            <w:tcW w:w="1800" w:type="dxa"/>
            <w:tcMar>
              <w:top w:w="80" w:type="dxa"/>
              <w:left w:w="100" w:type="dxa"/>
              <w:bottom w:w="80" w:type="dxa"/>
              <w:right w:w="100" w:type="dxa"/>
            </w:tcMar>
            <w:vAlign w:val="center"/>
          </w:tcPr>
          <w:p w14:paraId="0F8D8923" w14:textId="77777777" w:rsidR="005D5BAF" w:rsidRPr="00F00EE3" w:rsidRDefault="00A35F3D">
            <w:pPr>
              <w:spacing w:after="40"/>
              <w:rPr>
                <w:rFonts w:ascii="Times New Roman" w:hAnsi="Times New Roman" w:cs="Times New Roman"/>
              </w:rPr>
            </w:pPr>
            <w:r>
              <w:rPr>
                <w:rFonts w:ascii="Times New Roman" w:hAnsi="Times New Roman" w:cs="Times New Roman"/>
                <w:sz w:val="20"/>
                <w:szCs w:val="20"/>
              </w:rPr>
              <w:t>4 weeks</w:t>
            </w:r>
          </w:p>
        </w:tc>
      </w:tr>
      <w:tr w:rsidR="00F00EE3" w:rsidRPr="00F00EE3" w14:paraId="1EA69C30" w14:textId="77777777" w:rsidTr="00F00EE3">
        <w:tc>
          <w:tcPr>
            <w:tcW w:w="700" w:type="dxa"/>
            <w:tcMar>
              <w:top w:w="80" w:type="dxa"/>
              <w:left w:w="100" w:type="dxa"/>
              <w:bottom w:w="80" w:type="dxa"/>
              <w:right w:w="100" w:type="dxa"/>
            </w:tcMar>
            <w:vAlign w:val="center"/>
          </w:tcPr>
          <w:p w14:paraId="03F339B0"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3</w:t>
            </w:r>
          </w:p>
        </w:tc>
        <w:tc>
          <w:tcPr>
            <w:tcW w:w="6300" w:type="dxa"/>
            <w:tcMar>
              <w:top w:w="80" w:type="dxa"/>
              <w:left w:w="100" w:type="dxa"/>
              <w:bottom w:w="80" w:type="dxa"/>
              <w:right w:w="100" w:type="dxa"/>
            </w:tcMar>
            <w:vAlign w:val="center"/>
          </w:tcPr>
          <w:p w14:paraId="24F8B948"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Needs Assessment / Space Programme and Concept Design Options Report</w:t>
            </w:r>
          </w:p>
        </w:tc>
        <w:tc>
          <w:tcPr>
            <w:tcW w:w="1800" w:type="dxa"/>
            <w:tcMar>
              <w:top w:w="80" w:type="dxa"/>
              <w:left w:w="100" w:type="dxa"/>
              <w:bottom w:w="80" w:type="dxa"/>
              <w:right w:w="100" w:type="dxa"/>
            </w:tcMar>
            <w:vAlign w:val="center"/>
          </w:tcPr>
          <w:p w14:paraId="74E8B64D"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8 weeks</w:t>
            </w:r>
          </w:p>
        </w:tc>
      </w:tr>
      <w:tr w:rsidR="00F00EE3" w:rsidRPr="00F00EE3" w14:paraId="66F36B99" w14:textId="77777777" w:rsidTr="00F00EE3">
        <w:tc>
          <w:tcPr>
            <w:tcW w:w="700" w:type="dxa"/>
            <w:tcMar>
              <w:top w:w="80" w:type="dxa"/>
              <w:left w:w="100" w:type="dxa"/>
              <w:bottom w:w="80" w:type="dxa"/>
              <w:right w:w="100" w:type="dxa"/>
            </w:tcMar>
            <w:vAlign w:val="center"/>
          </w:tcPr>
          <w:p w14:paraId="78C2ACC9"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4</w:t>
            </w:r>
          </w:p>
        </w:tc>
        <w:tc>
          <w:tcPr>
            <w:tcW w:w="6300" w:type="dxa"/>
            <w:tcMar>
              <w:top w:w="80" w:type="dxa"/>
              <w:left w:w="100" w:type="dxa"/>
              <w:bottom w:w="80" w:type="dxa"/>
              <w:right w:w="100" w:type="dxa"/>
            </w:tcMar>
            <w:vAlign w:val="center"/>
          </w:tcPr>
          <w:p w14:paraId="5F6B8292"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Draft Detailed Design Report (architectural, structural, MEP, external works)</w:t>
            </w:r>
          </w:p>
        </w:tc>
        <w:tc>
          <w:tcPr>
            <w:tcW w:w="1800" w:type="dxa"/>
            <w:tcMar>
              <w:top w:w="80" w:type="dxa"/>
              <w:left w:w="100" w:type="dxa"/>
              <w:bottom w:w="80" w:type="dxa"/>
              <w:right w:w="100" w:type="dxa"/>
            </w:tcMar>
            <w:vAlign w:val="center"/>
          </w:tcPr>
          <w:p w14:paraId="3A7CF5EE"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14 weeks</w:t>
            </w:r>
          </w:p>
        </w:tc>
      </w:tr>
      <w:tr w:rsidR="00F00EE3" w:rsidRPr="00F00EE3" w14:paraId="4E658DFF" w14:textId="77777777" w:rsidTr="00F00EE3">
        <w:tc>
          <w:tcPr>
            <w:tcW w:w="700" w:type="dxa"/>
            <w:tcMar>
              <w:top w:w="80" w:type="dxa"/>
              <w:left w:w="100" w:type="dxa"/>
              <w:bottom w:w="80" w:type="dxa"/>
              <w:right w:w="100" w:type="dxa"/>
            </w:tcMar>
            <w:vAlign w:val="center"/>
          </w:tcPr>
          <w:p w14:paraId="2373B901"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5</w:t>
            </w:r>
          </w:p>
        </w:tc>
        <w:tc>
          <w:tcPr>
            <w:tcW w:w="6300" w:type="dxa"/>
            <w:tcMar>
              <w:top w:w="80" w:type="dxa"/>
              <w:left w:w="100" w:type="dxa"/>
              <w:bottom w:w="80" w:type="dxa"/>
              <w:right w:w="100" w:type="dxa"/>
            </w:tcMar>
            <w:vAlign w:val="center"/>
          </w:tcPr>
          <w:p w14:paraId="298D2ED6"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Draft ESIA, ESMP, SEP, LMP and other applicable E&amp;S instruments</w:t>
            </w:r>
          </w:p>
        </w:tc>
        <w:tc>
          <w:tcPr>
            <w:tcW w:w="1800" w:type="dxa"/>
            <w:tcMar>
              <w:top w:w="80" w:type="dxa"/>
              <w:left w:w="100" w:type="dxa"/>
              <w:bottom w:w="80" w:type="dxa"/>
              <w:right w:w="100" w:type="dxa"/>
            </w:tcMar>
            <w:vAlign w:val="center"/>
          </w:tcPr>
          <w:p w14:paraId="284A888F"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14 weeks</w:t>
            </w:r>
          </w:p>
        </w:tc>
      </w:tr>
      <w:tr w:rsidR="00F00EE3" w:rsidRPr="00F00EE3" w14:paraId="2BF7AD32" w14:textId="77777777" w:rsidTr="00F00EE3">
        <w:tc>
          <w:tcPr>
            <w:tcW w:w="700" w:type="dxa"/>
            <w:tcMar>
              <w:top w:w="80" w:type="dxa"/>
              <w:left w:w="100" w:type="dxa"/>
              <w:bottom w:w="80" w:type="dxa"/>
              <w:right w:w="100" w:type="dxa"/>
            </w:tcMar>
            <w:vAlign w:val="center"/>
          </w:tcPr>
          <w:p w14:paraId="29054462"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6</w:t>
            </w:r>
          </w:p>
        </w:tc>
        <w:tc>
          <w:tcPr>
            <w:tcW w:w="6300" w:type="dxa"/>
            <w:tcMar>
              <w:top w:w="80" w:type="dxa"/>
              <w:left w:w="100" w:type="dxa"/>
              <w:bottom w:w="80" w:type="dxa"/>
              <w:right w:w="100" w:type="dxa"/>
            </w:tcMar>
            <w:vAlign w:val="center"/>
          </w:tcPr>
          <w:p w14:paraId="4A1D27C9"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Stakeholder consultation on draft design and E&amp;S instruments</w:t>
            </w:r>
          </w:p>
        </w:tc>
        <w:tc>
          <w:tcPr>
            <w:tcW w:w="1800" w:type="dxa"/>
            <w:tcMar>
              <w:top w:w="80" w:type="dxa"/>
              <w:left w:w="100" w:type="dxa"/>
              <w:bottom w:w="80" w:type="dxa"/>
              <w:right w:w="100" w:type="dxa"/>
            </w:tcMar>
            <w:vAlign w:val="center"/>
          </w:tcPr>
          <w:p w14:paraId="5B8C2F19"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16 weeks</w:t>
            </w:r>
          </w:p>
        </w:tc>
      </w:tr>
      <w:tr w:rsidR="00F00EE3" w:rsidRPr="00F00EE3" w14:paraId="2FE1EBA5" w14:textId="77777777" w:rsidTr="00F00EE3">
        <w:tc>
          <w:tcPr>
            <w:tcW w:w="700" w:type="dxa"/>
            <w:tcMar>
              <w:top w:w="80" w:type="dxa"/>
              <w:left w:w="100" w:type="dxa"/>
              <w:bottom w:w="80" w:type="dxa"/>
              <w:right w:w="100" w:type="dxa"/>
            </w:tcMar>
            <w:vAlign w:val="center"/>
          </w:tcPr>
          <w:p w14:paraId="57BC2C35"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7</w:t>
            </w:r>
          </w:p>
        </w:tc>
        <w:tc>
          <w:tcPr>
            <w:tcW w:w="6300" w:type="dxa"/>
            <w:tcMar>
              <w:top w:w="80" w:type="dxa"/>
              <w:left w:w="100" w:type="dxa"/>
              <w:bottom w:w="80" w:type="dxa"/>
              <w:right w:w="100" w:type="dxa"/>
            </w:tcMar>
            <w:vAlign w:val="center"/>
          </w:tcPr>
          <w:p w14:paraId="68F8CD4F"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Final Detailed Design Report and design drawings</w:t>
            </w:r>
          </w:p>
        </w:tc>
        <w:tc>
          <w:tcPr>
            <w:tcW w:w="1800" w:type="dxa"/>
            <w:tcMar>
              <w:top w:w="80" w:type="dxa"/>
              <w:left w:w="100" w:type="dxa"/>
              <w:bottom w:w="80" w:type="dxa"/>
              <w:right w:w="100" w:type="dxa"/>
            </w:tcMar>
            <w:vAlign w:val="center"/>
          </w:tcPr>
          <w:p w14:paraId="2BE94AA8"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20 weeks</w:t>
            </w:r>
          </w:p>
        </w:tc>
      </w:tr>
      <w:tr w:rsidR="00F00EE3" w:rsidRPr="00F00EE3" w14:paraId="0514466A" w14:textId="77777777" w:rsidTr="00F00EE3">
        <w:tc>
          <w:tcPr>
            <w:tcW w:w="700" w:type="dxa"/>
            <w:tcMar>
              <w:top w:w="80" w:type="dxa"/>
              <w:left w:w="100" w:type="dxa"/>
              <w:bottom w:w="80" w:type="dxa"/>
              <w:right w:w="100" w:type="dxa"/>
            </w:tcMar>
            <w:vAlign w:val="center"/>
          </w:tcPr>
          <w:p w14:paraId="0919DFE7"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8</w:t>
            </w:r>
          </w:p>
        </w:tc>
        <w:tc>
          <w:tcPr>
            <w:tcW w:w="6300" w:type="dxa"/>
            <w:tcMar>
              <w:top w:w="80" w:type="dxa"/>
              <w:left w:w="100" w:type="dxa"/>
              <w:bottom w:w="80" w:type="dxa"/>
              <w:right w:w="100" w:type="dxa"/>
            </w:tcMar>
            <w:vAlign w:val="center"/>
          </w:tcPr>
          <w:p w14:paraId="40AF54EB"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Final E&amp;S instruments (ESIA/ESMP/RAP as applicable/SEP/LMP), disclosed and cleared</w:t>
            </w:r>
          </w:p>
        </w:tc>
        <w:tc>
          <w:tcPr>
            <w:tcW w:w="1800" w:type="dxa"/>
            <w:tcMar>
              <w:top w:w="80" w:type="dxa"/>
              <w:left w:w="100" w:type="dxa"/>
              <w:bottom w:w="80" w:type="dxa"/>
              <w:right w:w="100" w:type="dxa"/>
            </w:tcMar>
            <w:vAlign w:val="center"/>
          </w:tcPr>
          <w:p w14:paraId="21599776"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20 weeks</w:t>
            </w:r>
          </w:p>
        </w:tc>
      </w:tr>
      <w:tr w:rsidR="00F00EE3" w:rsidRPr="00F00EE3" w14:paraId="238E9731" w14:textId="77777777" w:rsidTr="00F00EE3">
        <w:tc>
          <w:tcPr>
            <w:tcW w:w="700" w:type="dxa"/>
            <w:tcMar>
              <w:top w:w="80" w:type="dxa"/>
              <w:left w:w="100" w:type="dxa"/>
              <w:bottom w:w="80" w:type="dxa"/>
              <w:right w:w="100" w:type="dxa"/>
            </w:tcMar>
            <w:vAlign w:val="center"/>
          </w:tcPr>
          <w:p w14:paraId="75DDFAFD"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9</w:t>
            </w:r>
          </w:p>
        </w:tc>
        <w:tc>
          <w:tcPr>
            <w:tcW w:w="6300" w:type="dxa"/>
            <w:tcMar>
              <w:top w:w="80" w:type="dxa"/>
              <w:left w:w="100" w:type="dxa"/>
              <w:bottom w:w="80" w:type="dxa"/>
              <w:right w:w="100" w:type="dxa"/>
            </w:tcMar>
            <w:vAlign w:val="center"/>
          </w:tcPr>
          <w:p w14:paraId="5FF2BBBC" w14:textId="7546CCA6" w:rsidR="005D5BAF" w:rsidRPr="00F00EE3" w:rsidRDefault="00000000">
            <w:pPr>
              <w:spacing w:after="40"/>
              <w:rPr>
                <w:rFonts w:ascii="Times New Roman" w:hAnsi="Times New Roman" w:cs="Times New Roman"/>
              </w:rPr>
            </w:pPr>
            <w:r>
              <w:rPr>
                <w:rFonts w:ascii="Times New Roman" w:hAnsi="Times New Roman" w:cs="Times New Roman"/>
                <w:sz w:val="20"/>
                <w:szCs w:val="20"/>
              </w:rPr>
              <w:t>Cost Estimate, BoQ, Technical Specifications and Bidding Documents</w:t>
            </w:r>
          </w:p>
        </w:tc>
        <w:tc>
          <w:tcPr>
            <w:tcW w:w="1800" w:type="dxa"/>
            <w:tcMar>
              <w:top w:w="80" w:type="dxa"/>
              <w:left w:w="100" w:type="dxa"/>
              <w:bottom w:w="80" w:type="dxa"/>
              <w:right w:w="100" w:type="dxa"/>
            </w:tcMar>
            <w:vAlign w:val="center"/>
          </w:tcPr>
          <w:p w14:paraId="7E1916DA"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22 weeks</w:t>
            </w:r>
          </w:p>
        </w:tc>
      </w:tr>
      <w:tr w:rsidR="00F00EE3" w:rsidRPr="00F00EE3" w14:paraId="3308364E" w14:textId="77777777" w:rsidTr="00F00EE3">
        <w:tc>
          <w:tcPr>
            <w:tcW w:w="700" w:type="dxa"/>
            <w:tcMar>
              <w:top w:w="80" w:type="dxa"/>
              <w:left w:w="100" w:type="dxa"/>
              <w:bottom w:w="80" w:type="dxa"/>
              <w:right w:w="100" w:type="dxa"/>
            </w:tcMar>
            <w:vAlign w:val="center"/>
          </w:tcPr>
          <w:p w14:paraId="304AFF27"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10</w:t>
            </w:r>
          </w:p>
        </w:tc>
        <w:tc>
          <w:tcPr>
            <w:tcW w:w="6300" w:type="dxa"/>
            <w:tcMar>
              <w:top w:w="80" w:type="dxa"/>
              <w:left w:w="100" w:type="dxa"/>
              <w:bottom w:w="80" w:type="dxa"/>
              <w:right w:w="100" w:type="dxa"/>
            </w:tcMar>
            <w:vAlign w:val="center"/>
          </w:tcPr>
          <w:p w14:paraId="482B5887"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Final Report, incorporating MoPWRH and World Bank comments</w:t>
            </w:r>
          </w:p>
        </w:tc>
        <w:tc>
          <w:tcPr>
            <w:tcW w:w="1800" w:type="dxa"/>
            <w:tcMar>
              <w:top w:w="80" w:type="dxa"/>
              <w:left w:w="100" w:type="dxa"/>
              <w:bottom w:w="80" w:type="dxa"/>
              <w:right w:w="100" w:type="dxa"/>
            </w:tcMar>
            <w:vAlign w:val="center"/>
          </w:tcPr>
          <w:p w14:paraId="41F01952"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26 weeks</w:t>
            </w:r>
          </w:p>
        </w:tc>
      </w:tr>
    </w:tbl>
    <w:p w14:paraId="5D182E2B" w14:textId="77777777" w:rsidR="00F00EE3" w:rsidRPr="00F00EE3" w:rsidRDefault="00000000" w:rsidP="00F00EE3">
      <w:pPr>
        <w:pStyle w:val="Heading1"/>
        <w:numPr>
          <w:ilvl w:val="0"/>
          <w:numId w:val="4"/>
        </w:numPr>
        <w:pBdr>
          <w:bottom w:val="single" w:sz="6" w:space="4" w:color="1F3864"/>
        </w:pBdr>
        <w:spacing w:before="320" w:after="160"/>
        <w:rPr>
          <w:rFonts w:ascii="Times New Roman" w:hAnsi="Times New Roman" w:cs="Times New Roman"/>
          <w:b/>
          <w:bCs/>
          <w:color w:val="auto"/>
          <w:sz w:val="26"/>
          <w:szCs w:val="26"/>
        </w:rPr>
      </w:pPr>
      <w:r>
        <w:rPr>
          <w:rFonts w:ascii="Times New Roman" w:hAnsi="Times New Roman" w:cs="Times New Roman"/>
          <w:b/>
          <w:bCs/>
          <w:color w:val="auto"/>
          <w:sz w:val="26"/>
          <w:szCs w:val="26"/>
        </w:rPr>
        <w:t>Team Composition and Key Expert Qualifications</w:t>
      </w:r>
    </w:p>
    <w:p w14:paraId="03B00DAD" w14:textId="77777777" w:rsidR="005D5BAF" w:rsidRPr="00F00EE3" w:rsidRDefault="00000000">
      <w:pPr>
        <w:spacing w:after="160" w:line="276" w:lineRule="auto"/>
        <w:jc w:val="both"/>
        <w:rPr>
          <w:rFonts w:ascii="Times New Roman" w:hAnsi="Times New Roman" w:cs="Times New Roman"/>
        </w:rPr>
      </w:pPr>
      <w:r>
        <w:rPr>
          <w:rFonts w:ascii="Times New Roman" w:hAnsi="Times New Roman" w:cs="Times New Roman"/>
        </w:rPr>
        <w:t>The Consultant's team shall, at a minimum, include the following key experts. Firms may propose additional short-term specialists as needed to deliver the scope of services.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F00EE3" w:rsidRPr="00F00EE3" w14:paraId="3F9A83F5" w14:textId="77777777" w:rsidTr="00F00EE3">
        <w:trPr>
          <w:tblHeader/>
        </w:trPr>
        <w:tc>
          <w:tcPr>
            <w:tcW w:w="2600" w:type="dxa"/>
            <w:tcMar>
              <w:top w:w="80" w:type="dxa"/>
              <w:left w:w="100" w:type="dxa"/>
              <w:bottom w:w="80" w:type="dxa"/>
              <w:right w:w="100" w:type="dxa"/>
            </w:tcMar>
            <w:vAlign w:val="center"/>
          </w:tcPr>
          <w:p w14:paraId="14096876" w14:textId="77777777" w:rsidR="005D5BAF" w:rsidRPr="00F00EE3" w:rsidRDefault="00000000">
            <w:pPr>
              <w:spacing w:after="40"/>
              <w:rPr>
                <w:rFonts w:ascii="Times New Roman" w:hAnsi="Times New Roman" w:cs="Times New Roman"/>
              </w:rPr>
            </w:pPr>
            <w:r>
              <w:rPr>
                <w:rFonts w:ascii="Times New Roman" w:hAnsi="Times New Roman" w:cs="Times New Roman"/>
                <w:b/>
                <w:bCs/>
                <w:sz w:val="20"/>
                <w:szCs w:val="20"/>
              </w:rPr>
              <w:t>Position</w:t>
            </w:r>
          </w:p>
        </w:tc>
        <w:tc>
          <w:tcPr>
            <w:tcW w:w="6800" w:type="dxa"/>
            <w:tcMar>
              <w:top w:w="80" w:type="dxa"/>
              <w:left w:w="100" w:type="dxa"/>
              <w:bottom w:w="80" w:type="dxa"/>
              <w:right w:w="100" w:type="dxa"/>
            </w:tcMar>
            <w:vAlign w:val="center"/>
          </w:tcPr>
          <w:p w14:paraId="47F93CB3" w14:textId="77777777" w:rsidR="005D5BAF" w:rsidRPr="00F00EE3" w:rsidRDefault="00000000">
            <w:pPr>
              <w:spacing w:after="40"/>
              <w:rPr>
                <w:rFonts w:ascii="Times New Roman" w:hAnsi="Times New Roman" w:cs="Times New Roman"/>
              </w:rPr>
            </w:pPr>
            <w:r>
              <w:rPr>
                <w:rFonts w:ascii="Times New Roman" w:hAnsi="Times New Roman" w:cs="Times New Roman"/>
                <w:b/>
                <w:bCs/>
                <w:sz w:val="20"/>
                <w:szCs w:val="20"/>
              </w:rPr>
              <w:t>Indicative Minimum Qualifications and Experience</w:t>
            </w:r>
          </w:p>
        </w:tc>
      </w:tr>
      <w:tr w:rsidR="00F00EE3" w:rsidRPr="00F00EE3" w14:paraId="31B765F2" w14:textId="77777777" w:rsidTr="00F00EE3">
        <w:tc>
          <w:tcPr>
            <w:tcW w:w="2600" w:type="dxa"/>
            <w:tcMar>
              <w:top w:w="80" w:type="dxa"/>
              <w:left w:w="100" w:type="dxa"/>
              <w:bottom w:w="80" w:type="dxa"/>
              <w:right w:w="100" w:type="dxa"/>
            </w:tcMar>
            <w:vAlign w:val="center"/>
          </w:tcPr>
          <w:p w14:paraId="25C51B2F"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Team Leader / Architect</w:t>
            </w:r>
          </w:p>
        </w:tc>
        <w:tc>
          <w:tcPr>
            <w:tcW w:w="6800" w:type="dxa"/>
            <w:tcMar>
              <w:top w:w="80" w:type="dxa"/>
              <w:left w:w="100" w:type="dxa"/>
              <w:bottom w:w="80" w:type="dxa"/>
              <w:right w:w="100" w:type="dxa"/>
            </w:tcMar>
            <w:vAlign w:val="center"/>
          </w:tcPr>
          <w:p w14:paraId="15B09100" w14:textId="38260427" w:rsidR="005D5BAF" w:rsidRPr="00F00EE3" w:rsidRDefault="00000000">
            <w:pPr>
              <w:spacing w:after="40"/>
              <w:rPr>
                <w:rFonts w:ascii="Times New Roman" w:hAnsi="Times New Roman" w:cs="Times New Roman"/>
              </w:rPr>
            </w:pPr>
            <w:r>
              <w:rPr>
                <w:rFonts w:ascii="Times New Roman" w:hAnsi="Times New Roman" w:cs="Times New Roman"/>
                <w:sz w:val="20"/>
                <w:szCs w:val="20"/>
              </w:rPr>
              <w:t>Registered architect with postgraduate qualification and at least 10 years' experience in multi-story building design, including team leadership on similar institutional/government building projects. Must have held this position in at least one similar contract.</w:t>
            </w:r>
          </w:p>
        </w:tc>
      </w:tr>
      <w:tr w:rsidR="00F00EE3" w:rsidRPr="00F00EE3" w14:paraId="3F724CC9" w14:textId="77777777" w:rsidTr="00F00EE3">
        <w:tc>
          <w:tcPr>
            <w:tcW w:w="2600" w:type="dxa"/>
            <w:tcMar>
              <w:top w:w="80" w:type="dxa"/>
              <w:left w:w="100" w:type="dxa"/>
              <w:bottom w:w="80" w:type="dxa"/>
              <w:right w:w="100" w:type="dxa"/>
            </w:tcMar>
            <w:vAlign w:val="center"/>
          </w:tcPr>
          <w:p w14:paraId="63CED08D"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Structural Engineer</w:t>
            </w:r>
          </w:p>
        </w:tc>
        <w:tc>
          <w:tcPr>
            <w:tcW w:w="6800" w:type="dxa"/>
            <w:tcMar>
              <w:top w:w="80" w:type="dxa"/>
              <w:left w:w="100" w:type="dxa"/>
              <w:bottom w:w="80" w:type="dxa"/>
              <w:right w:w="100" w:type="dxa"/>
            </w:tcMar>
            <w:vAlign w:val="center"/>
          </w:tcPr>
          <w:p w14:paraId="102390AF" w14:textId="257A0BC9" w:rsidR="005D5BAF" w:rsidRPr="00F00EE3" w:rsidRDefault="00000000">
            <w:pPr>
              <w:spacing w:after="40"/>
              <w:rPr>
                <w:rFonts w:ascii="Times New Roman" w:hAnsi="Times New Roman" w:cs="Times New Roman"/>
              </w:rPr>
            </w:pPr>
            <w:r>
              <w:rPr>
                <w:rFonts w:ascii="Times New Roman" w:hAnsi="Times New Roman" w:cs="Times New Roman"/>
                <w:sz w:val="20"/>
                <w:szCs w:val="20"/>
              </w:rPr>
              <w:t>Registered civil/structural engineer with at least 8 years' experience in structural design of multi-story public buildings. Must have held this position in at least one similar contract.</w:t>
            </w:r>
          </w:p>
        </w:tc>
      </w:tr>
      <w:tr w:rsidR="00F00EE3" w:rsidRPr="00F00EE3" w14:paraId="756B5F6F" w14:textId="77777777" w:rsidTr="00F00EE3">
        <w:tc>
          <w:tcPr>
            <w:tcW w:w="2600" w:type="dxa"/>
            <w:tcMar>
              <w:top w:w="80" w:type="dxa"/>
              <w:left w:w="100" w:type="dxa"/>
              <w:bottom w:w="80" w:type="dxa"/>
              <w:right w:w="100" w:type="dxa"/>
            </w:tcMar>
            <w:vAlign w:val="center"/>
          </w:tcPr>
          <w:p w14:paraId="1EF8923D"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lastRenderedPageBreak/>
              <w:t>Geotechnical Engineer</w:t>
            </w:r>
          </w:p>
        </w:tc>
        <w:tc>
          <w:tcPr>
            <w:tcW w:w="6800" w:type="dxa"/>
            <w:tcMar>
              <w:top w:w="80" w:type="dxa"/>
              <w:left w:w="100" w:type="dxa"/>
              <w:bottom w:w="80" w:type="dxa"/>
              <w:right w:w="100" w:type="dxa"/>
            </w:tcMar>
            <w:vAlign w:val="center"/>
          </w:tcPr>
          <w:p w14:paraId="410EF21F" w14:textId="5622D9A9" w:rsidR="005D5BAF" w:rsidRPr="00F00EE3" w:rsidRDefault="00F0246D">
            <w:pPr>
              <w:spacing w:after="40"/>
              <w:rPr>
                <w:rFonts w:ascii="Times New Roman" w:hAnsi="Times New Roman" w:cs="Times New Roman"/>
              </w:rPr>
            </w:pPr>
            <w:r>
              <w:rPr>
                <w:rFonts w:ascii="Times New Roman" w:hAnsi="Times New Roman" w:cs="Times New Roman"/>
                <w:sz w:val="20"/>
                <w:szCs w:val="20"/>
              </w:rPr>
              <w:t>Professional Geotechnical Engineer with at least 8 years' experience in geotechnical investigations for building foundations. Must have held this position in at least one similar contract.</w:t>
            </w:r>
          </w:p>
        </w:tc>
      </w:tr>
      <w:tr w:rsidR="00F00EE3" w:rsidRPr="00F00EE3" w14:paraId="3A5F0ED3" w14:textId="77777777" w:rsidTr="00F00EE3">
        <w:tc>
          <w:tcPr>
            <w:tcW w:w="2600" w:type="dxa"/>
            <w:tcMar>
              <w:top w:w="80" w:type="dxa"/>
              <w:left w:w="100" w:type="dxa"/>
              <w:bottom w:w="80" w:type="dxa"/>
              <w:right w:w="100" w:type="dxa"/>
            </w:tcMar>
            <w:vAlign w:val="center"/>
          </w:tcPr>
          <w:p w14:paraId="33390CCD"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MEP Engineer(s)</w:t>
            </w:r>
          </w:p>
        </w:tc>
        <w:tc>
          <w:tcPr>
            <w:tcW w:w="6800" w:type="dxa"/>
            <w:tcMar>
              <w:top w:w="80" w:type="dxa"/>
              <w:left w:w="100" w:type="dxa"/>
              <w:bottom w:w="80" w:type="dxa"/>
              <w:right w:w="100" w:type="dxa"/>
            </w:tcMar>
            <w:vAlign w:val="center"/>
          </w:tcPr>
          <w:p w14:paraId="2EACE878" w14:textId="6891E2AB" w:rsidR="005D5BAF" w:rsidRPr="00F00EE3" w:rsidRDefault="00F0246D">
            <w:pPr>
              <w:spacing w:after="40"/>
              <w:rPr>
                <w:rFonts w:ascii="Times New Roman" w:hAnsi="Times New Roman" w:cs="Times New Roman"/>
              </w:rPr>
            </w:pPr>
            <w:r>
              <w:rPr>
                <w:rFonts w:ascii="Times New Roman" w:hAnsi="Times New Roman" w:cs="Times New Roman"/>
                <w:sz w:val="20"/>
                <w:szCs w:val="20"/>
              </w:rPr>
              <w:t>Registered Electrical and Mechanical Engineers with at least 8 years' combined experience in institutional building services design, including solar/backup power systems. Must have held this position in at least one similar contract.</w:t>
            </w:r>
          </w:p>
        </w:tc>
      </w:tr>
      <w:tr w:rsidR="00F00EE3" w:rsidRPr="00F00EE3" w14:paraId="3C636F3B" w14:textId="77777777" w:rsidTr="00F00EE3">
        <w:tc>
          <w:tcPr>
            <w:tcW w:w="2600" w:type="dxa"/>
            <w:tcMar>
              <w:top w:w="80" w:type="dxa"/>
              <w:left w:w="100" w:type="dxa"/>
              <w:bottom w:w="80" w:type="dxa"/>
              <w:right w:w="100" w:type="dxa"/>
            </w:tcMar>
            <w:vAlign w:val="center"/>
          </w:tcPr>
          <w:p w14:paraId="6BC87636"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Quantity Surveyor / Cost Engineer</w:t>
            </w:r>
          </w:p>
        </w:tc>
        <w:tc>
          <w:tcPr>
            <w:tcW w:w="6800" w:type="dxa"/>
            <w:tcMar>
              <w:top w:w="80" w:type="dxa"/>
              <w:left w:w="100" w:type="dxa"/>
              <w:bottom w:w="80" w:type="dxa"/>
              <w:right w:w="100" w:type="dxa"/>
            </w:tcMar>
            <w:vAlign w:val="center"/>
          </w:tcPr>
          <w:p w14:paraId="046BF35A" w14:textId="3FB1B12F" w:rsidR="005D5BAF" w:rsidRPr="00F00EE3" w:rsidRDefault="00F0246D">
            <w:pPr>
              <w:spacing w:after="40"/>
              <w:rPr>
                <w:rFonts w:ascii="Times New Roman" w:hAnsi="Times New Roman" w:cs="Times New Roman"/>
              </w:rPr>
            </w:pPr>
            <w:r>
              <w:rPr>
                <w:rFonts w:ascii="Times New Roman" w:hAnsi="Times New Roman" w:cs="Times New Roman"/>
                <w:sz w:val="20"/>
                <w:szCs w:val="20"/>
              </w:rPr>
              <w:t>Registered Quantity Surveyor with at least 8 years' experience preparing BoQs, cost estimates, and tender documents for public works, including under World Bank or similar MDB procurement procedures. Must have held this position in at least one similar contract.</w:t>
            </w:r>
          </w:p>
        </w:tc>
      </w:tr>
      <w:tr w:rsidR="00F00EE3" w:rsidRPr="00F00EE3" w14:paraId="24E3B9F8" w14:textId="77777777" w:rsidTr="00F00EE3">
        <w:tc>
          <w:tcPr>
            <w:tcW w:w="2600" w:type="dxa"/>
            <w:tcMar>
              <w:top w:w="80" w:type="dxa"/>
              <w:left w:w="100" w:type="dxa"/>
              <w:bottom w:w="80" w:type="dxa"/>
              <w:right w:w="100" w:type="dxa"/>
            </w:tcMar>
            <w:vAlign w:val="center"/>
          </w:tcPr>
          <w:p w14:paraId="4DAEF25D"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Environmental Specialist</w:t>
            </w:r>
          </w:p>
        </w:tc>
        <w:tc>
          <w:tcPr>
            <w:tcW w:w="6800" w:type="dxa"/>
            <w:tcMar>
              <w:top w:w="80" w:type="dxa"/>
              <w:left w:w="100" w:type="dxa"/>
              <w:bottom w:w="80" w:type="dxa"/>
              <w:right w:w="100" w:type="dxa"/>
            </w:tcMar>
            <w:vAlign w:val="center"/>
          </w:tcPr>
          <w:p w14:paraId="4B94C203" w14:textId="1EBA2FAF" w:rsidR="005D5BAF" w:rsidRPr="00F00EE3" w:rsidRDefault="00000000">
            <w:pPr>
              <w:spacing w:after="40"/>
              <w:rPr>
                <w:rFonts w:ascii="Times New Roman" w:hAnsi="Times New Roman" w:cs="Times New Roman"/>
              </w:rPr>
            </w:pPr>
            <w:r>
              <w:rPr>
                <w:rFonts w:ascii="Times New Roman" w:hAnsi="Times New Roman" w:cs="Times New Roman"/>
                <w:sz w:val="20"/>
                <w:szCs w:val="20"/>
              </w:rPr>
              <w:t>At least 8 years' experience preparing ESIA/ESMPs, ideally under World Bank ESF or equivalent MDB safeguards systems, in the East Africa/Horn of Africa region.</w:t>
            </w:r>
          </w:p>
        </w:tc>
      </w:tr>
      <w:tr w:rsidR="00F00EE3" w:rsidRPr="00F00EE3" w14:paraId="65A1DB2B" w14:textId="77777777" w:rsidTr="00F00EE3">
        <w:tc>
          <w:tcPr>
            <w:tcW w:w="2600" w:type="dxa"/>
            <w:tcMar>
              <w:top w:w="80" w:type="dxa"/>
              <w:left w:w="100" w:type="dxa"/>
              <w:bottom w:w="80" w:type="dxa"/>
              <w:right w:w="100" w:type="dxa"/>
            </w:tcMar>
            <w:vAlign w:val="center"/>
          </w:tcPr>
          <w:p w14:paraId="4F622081"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Social Development / Resettlement Specialist</w:t>
            </w:r>
          </w:p>
        </w:tc>
        <w:tc>
          <w:tcPr>
            <w:tcW w:w="6800" w:type="dxa"/>
            <w:tcMar>
              <w:top w:w="80" w:type="dxa"/>
              <w:left w:w="100" w:type="dxa"/>
              <w:bottom w:w="80" w:type="dxa"/>
              <w:right w:w="100" w:type="dxa"/>
            </w:tcMar>
            <w:vAlign w:val="center"/>
          </w:tcPr>
          <w:p w14:paraId="0285E4A9" w14:textId="1B96D41B" w:rsidR="005D5BAF" w:rsidRPr="00F00EE3" w:rsidRDefault="00000000">
            <w:pPr>
              <w:spacing w:after="40"/>
              <w:rPr>
                <w:rFonts w:ascii="Times New Roman" w:hAnsi="Times New Roman" w:cs="Times New Roman"/>
              </w:rPr>
            </w:pPr>
            <w:r>
              <w:rPr>
                <w:rFonts w:ascii="Times New Roman" w:hAnsi="Times New Roman" w:cs="Times New Roman"/>
                <w:sz w:val="20"/>
                <w:szCs w:val="20"/>
              </w:rPr>
              <w:t>At least 8 years' experience in social impact assessment, land tenure due diligence, and resettlement planning under World Bank ESF/OP or equivalent.</w:t>
            </w:r>
          </w:p>
        </w:tc>
      </w:tr>
      <w:tr w:rsidR="00F00EE3" w:rsidRPr="00F00EE3" w14:paraId="2FC57311" w14:textId="77777777" w:rsidTr="00F00EE3">
        <w:tc>
          <w:tcPr>
            <w:tcW w:w="2600" w:type="dxa"/>
            <w:tcMar>
              <w:top w:w="80" w:type="dxa"/>
              <w:left w:w="100" w:type="dxa"/>
              <w:bottom w:w="80" w:type="dxa"/>
              <w:right w:w="100" w:type="dxa"/>
            </w:tcMar>
            <w:vAlign w:val="center"/>
          </w:tcPr>
          <w:p w14:paraId="0D61EE2C"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GBV/SEA-SH Specialist</w:t>
            </w:r>
          </w:p>
        </w:tc>
        <w:tc>
          <w:tcPr>
            <w:tcW w:w="6800" w:type="dxa"/>
            <w:tcMar>
              <w:top w:w="80" w:type="dxa"/>
              <w:left w:w="100" w:type="dxa"/>
              <w:bottom w:w="80" w:type="dxa"/>
              <w:right w:w="100" w:type="dxa"/>
            </w:tcMar>
            <w:vAlign w:val="center"/>
          </w:tcPr>
          <w:p w14:paraId="00FAC789" w14:textId="72DCF452" w:rsidR="005D5BAF" w:rsidRPr="00F00EE3" w:rsidRDefault="00000000">
            <w:pPr>
              <w:spacing w:after="40"/>
              <w:rPr>
                <w:rFonts w:ascii="Times New Roman" w:hAnsi="Times New Roman" w:cs="Times New Roman"/>
              </w:rPr>
            </w:pPr>
            <w:r>
              <w:rPr>
                <w:rFonts w:ascii="Times New Roman" w:hAnsi="Times New Roman" w:cs="Times New Roman"/>
                <w:sz w:val="20"/>
                <w:szCs w:val="20"/>
              </w:rPr>
              <w:t>Demonstrated experience designing GBV/SEA-SH risk assessments and mitigation measures for infrastructure projects in FCV/humanitarian contexts.</w:t>
            </w:r>
          </w:p>
        </w:tc>
      </w:tr>
      <w:tr w:rsidR="00F00EE3" w:rsidRPr="00F00EE3" w14:paraId="65401B1B" w14:textId="77777777" w:rsidTr="00F00EE3">
        <w:tc>
          <w:tcPr>
            <w:tcW w:w="2600" w:type="dxa"/>
            <w:tcMar>
              <w:top w:w="80" w:type="dxa"/>
              <w:left w:w="100" w:type="dxa"/>
              <w:bottom w:w="80" w:type="dxa"/>
              <w:right w:w="100" w:type="dxa"/>
            </w:tcMar>
            <w:vAlign w:val="center"/>
          </w:tcPr>
          <w:p w14:paraId="44DC11AB"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Health &amp; Safety Specialist</w:t>
            </w:r>
          </w:p>
        </w:tc>
        <w:tc>
          <w:tcPr>
            <w:tcW w:w="6800" w:type="dxa"/>
            <w:tcMar>
              <w:top w:w="80" w:type="dxa"/>
              <w:left w:w="100" w:type="dxa"/>
              <w:bottom w:w="80" w:type="dxa"/>
              <w:right w:w="100" w:type="dxa"/>
            </w:tcMar>
            <w:vAlign w:val="center"/>
          </w:tcPr>
          <w:p w14:paraId="499E9ED5" w14:textId="5D97E478" w:rsidR="005D5BAF" w:rsidRPr="00F00EE3" w:rsidRDefault="00000000">
            <w:pPr>
              <w:spacing w:after="40"/>
              <w:rPr>
                <w:rFonts w:ascii="Times New Roman" w:hAnsi="Times New Roman" w:cs="Times New Roman"/>
              </w:rPr>
            </w:pPr>
            <w:r>
              <w:rPr>
                <w:rFonts w:ascii="Times New Roman" w:hAnsi="Times New Roman" w:cs="Times New Roman"/>
                <w:sz w:val="20"/>
                <w:szCs w:val="20"/>
              </w:rPr>
              <w:t>Experience preparing construction-phase occupational and community health and safety plans.</w:t>
            </w:r>
          </w:p>
        </w:tc>
      </w:tr>
      <w:tr w:rsidR="00F00EE3" w:rsidRPr="00F00EE3" w14:paraId="6C427819" w14:textId="77777777" w:rsidTr="00F00EE3">
        <w:tc>
          <w:tcPr>
            <w:tcW w:w="2600" w:type="dxa"/>
            <w:tcMar>
              <w:top w:w="80" w:type="dxa"/>
              <w:left w:w="100" w:type="dxa"/>
              <w:bottom w:w="80" w:type="dxa"/>
              <w:right w:w="100" w:type="dxa"/>
            </w:tcMar>
            <w:vAlign w:val="center"/>
          </w:tcPr>
          <w:p w14:paraId="675CD0D2" w14:textId="77777777" w:rsidR="005D5BAF" w:rsidRPr="00F00EE3" w:rsidRDefault="00000000">
            <w:pPr>
              <w:spacing w:after="40"/>
              <w:rPr>
                <w:rFonts w:ascii="Times New Roman" w:hAnsi="Times New Roman" w:cs="Times New Roman"/>
              </w:rPr>
            </w:pPr>
            <w:r>
              <w:rPr>
                <w:rFonts w:ascii="Times New Roman" w:hAnsi="Times New Roman" w:cs="Times New Roman"/>
                <w:sz w:val="20"/>
                <w:szCs w:val="20"/>
              </w:rPr>
              <w:t>Land Surveyor</w:t>
            </w:r>
          </w:p>
        </w:tc>
        <w:tc>
          <w:tcPr>
            <w:tcW w:w="6800" w:type="dxa"/>
            <w:tcMar>
              <w:top w:w="80" w:type="dxa"/>
              <w:left w:w="100" w:type="dxa"/>
              <w:bottom w:w="80" w:type="dxa"/>
              <w:right w:w="100" w:type="dxa"/>
            </w:tcMar>
            <w:vAlign w:val="center"/>
          </w:tcPr>
          <w:p w14:paraId="6EC3E559" w14:textId="782B110A" w:rsidR="005D5BAF" w:rsidRPr="00F00EE3" w:rsidRDefault="00000000">
            <w:pPr>
              <w:spacing w:after="40"/>
              <w:rPr>
                <w:rFonts w:ascii="Times New Roman" w:hAnsi="Times New Roman" w:cs="Times New Roman"/>
              </w:rPr>
            </w:pPr>
            <w:r>
              <w:rPr>
                <w:rFonts w:ascii="Times New Roman" w:hAnsi="Times New Roman" w:cs="Times New Roman"/>
                <w:sz w:val="20"/>
                <w:szCs w:val="20"/>
              </w:rPr>
              <w:t>Licensed surveyor with experience in topographic and boundary surveys.</w:t>
            </w:r>
          </w:p>
        </w:tc>
      </w:tr>
    </w:tbl>
    <w:p w14:paraId="4D063F28" w14:textId="77777777" w:rsidR="00F00EE3" w:rsidRPr="00F00EE3" w:rsidRDefault="00000000" w:rsidP="00F00EE3">
      <w:pPr>
        <w:pStyle w:val="Heading1"/>
        <w:numPr>
          <w:ilvl w:val="0"/>
          <w:numId w:val="4"/>
        </w:numPr>
        <w:pBdr>
          <w:bottom w:val="single" w:sz="6" w:space="4" w:color="1F3864"/>
        </w:pBdr>
        <w:spacing w:before="320" w:after="160"/>
        <w:rPr>
          <w:rFonts w:ascii="Times New Roman" w:hAnsi="Times New Roman" w:cs="Times New Roman"/>
          <w:b/>
          <w:bCs/>
          <w:color w:val="auto"/>
          <w:sz w:val="26"/>
          <w:szCs w:val="26"/>
        </w:rPr>
      </w:pPr>
      <w:r>
        <w:rPr>
          <w:rFonts w:ascii="Times New Roman" w:hAnsi="Times New Roman" w:cs="Times New Roman"/>
          <w:b/>
          <w:bCs/>
          <w:color w:val="auto"/>
          <w:sz w:val="26"/>
          <w:szCs w:val="26"/>
        </w:rPr>
        <w:t>Duration of Assignment</w:t>
      </w:r>
    </w:p>
    <w:p w14:paraId="03B1C6EA" w14:textId="77777777" w:rsidR="005D5BAF" w:rsidRPr="003B1A89" w:rsidRDefault="00000000">
      <w:pPr>
        <w:spacing w:after="160" w:line="276" w:lineRule="auto"/>
        <w:jc w:val="both"/>
        <w:rPr>
          <w:rFonts w:ascii="Times New Roman" w:hAnsi="Times New Roman" w:cs="Times New Roman"/>
          <w:strike/>
        </w:rPr>
      </w:pPr>
      <w:r>
        <w:rPr>
          <w:rFonts w:ascii="Times New Roman" w:hAnsi="Times New Roman" w:cs="Times New Roman"/>
        </w:rPr>
        <w:t xml:space="preserve">The assignment is expected to be completed within six (6) months from the date of contract commencement, inclusive of stakeholder consultation and review. </w:t>
      </w:r>
      <w:r>
        <w:rPr>
          <w:rFonts w:ascii="Times New Roman" w:hAnsi="Times New Roman" w:cs="Times New Roman"/>
          <w:strike/>
        </w:rPr>
        <w:t>The exact duration shall be confirmed at contract negotiation based on the Consultant's proposed work plan.</w:t>
      </w:r>
    </w:p>
    <w:p w14:paraId="5628A944" w14:textId="77777777" w:rsidR="00F00EE3" w:rsidRPr="00F00EE3" w:rsidRDefault="00000000" w:rsidP="00F00EE3">
      <w:pPr>
        <w:pStyle w:val="Heading1"/>
        <w:numPr>
          <w:ilvl w:val="0"/>
          <w:numId w:val="4"/>
        </w:numPr>
        <w:pBdr>
          <w:bottom w:val="single" w:sz="6" w:space="4" w:color="1F3864"/>
        </w:pBdr>
        <w:spacing w:before="320" w:after="160"/>
        <w:rPr>
          <w:rFonts w:ascii="Times New Roman" w:hAnsi="Times New Roman" w:cs="Times New Roman"/>
          <w:b/>
          <w:bCs/>
          <w:color w:val="auto"/>
          <w:sz w:val="26"/>
          <w:szCs w:val="26"/>
        </w:rPr>
      </w:pPr>
      <w:r>
        <w:rPr>
          <w:rFonts w:ascii="Times New Roman" w:hAnsi="Times New Roman" w:cs="Times New Roman"/>
          <w:b/>
          <w:bCs/>
          <w:color w:val="auto"/>
          <w:sz w:val="26"/>
          <w:szCs w:val="26"/>
        </w:rPr>
        <w:t>Institutional Arrangements and Reporting</w:t>
      </w:r>
    </w:p>
    <w:p w14:paraId="70F280A0"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The Client for this assignment is MoPWRH, which shall be the Consultant's primary day-to-day counterpart;</w:t>
      </w:r>
    </w:p>
    <w:p w14:paraId="223D5BAF"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The MoPWRH-PIU includes a dedicated Coordinating Environmental and Social Specialist, who shall review and clear all E&amp;S deliverables prior to submission to the World Bank;</w:t>
      </w:r>
    </w:p>
    <w:p w14:paraId="26F30F15"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All deliverables are subject to review and, for E&amp;S instruments and any instrument requiring disclosure, no-objection by the World Bank prior to finalization and disclosure; and</w:t>
      </w:r>
    </w:p>
    <w:p w14:paraId="55966F8B" w14:textId="244DA862"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The Consultant shall submit all deliverables in English, in both editable electronic format and PDF, and shall present key deliverables to MoPWRH, MoPWRH-PIU, and MoF-PCU at agreed milestone meetings.</w:t>
      </w:r>
    </w:p>
    <w:p w14:paraId="07421C50" w14:textId="77777777" w:rsidR="00F00EE3" w:rsidRPr="00F00EE3" w:rsidRDefault="00000000" w:rsidP="00F00EE3">
      <w:pPr>
        <w:pStyle w:val="Heading1"/>
        <w:numPr>
          <w:ilvl w:val="0"/>
          <w:numId w:val="4"/>
        </w:numPr>
        <w:pBdr>
          <w:bottom w:val="single" w:sz="6" w:space="4" w:color="1F3864"/>
        </w:pBdr>
        <w:spacing w:before="320" w:after="160"/>
        <w:rPr>
          <w:rFonts w:ascii="Times New Roman" w:hAnsi="Times New Roman" w:cs="Times New Roman"/>
          <w:b/>
          <w:bCs/>
          <w:color w:val="auto"/>
          <w:sz w:val="26"/>
          <w:szCs w:val="26"/>
        </w:rPr>
      </w:pPr>
      <w:r>
        <w:rPr>
          <w:rFonts w:ascii="Times New Roman" w:hAnsi="Times New Roman" w:cs="Times New Roman"/>
          <w:b/>
          <w:bCs/>
          <w:color w:val="auto"/>
          <w:sz w:val="26"/>
          <w:szCs w:val="26"/>
        </w:rPr>
        <w:t>Client's Inputs and Facilities</w:t>
      </w:r>
    </w:p>
    <w:p w14:paraId="0E44E35C"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Access to the site and any existing survey, land, or planning records held by MoPWRH or relevant municipal/land authorities;</w:t>
      </w:r>
    </w:p>
    <w:p w14:paraId="03D3000A"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Designation of a counterpart team, including the Coordinating E&amp;S Specialist, to support consultations and review of deliverables;</w:t>
      </w:r>
    </w:p>
    <w:p w14:paraId="50B53B46"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Facilitation of introductions to relevant local authorities, utility providers, and community stakeholders; and</w:t>
      </w:r>
    </w:p>
    <w:p w14:paraId="53AFDCBF"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Timely review and consolidated feedback on draft deliverables within an agreed turnaround period (recommended: 10 working days per deliverable).</w:t>
      </w:r>
    </w:p>
    <w:p w14:paraId="1CB46FF1" w14:textId="77777777" w:rsidR="00F00EE3" w:rsidRPr="00F00EE3" w:rsidRDefault="00000000" w:rsidP="00F00EE3">
      <w:pPr>
        <w:pStyle w:val="Heading1"/>
        <w:numPr>
          <w:ilvl w:val="0"/>
          <w:numId w:val="4"/>
        </w:numPr>
        <w:pBdr>
          <w:bottom w:val="single" w:sz="6" w:space="4" w:color="1F3864"/>
        </w:pBdr>
        <w:spacing w:before="320" w:after="160"/>
        <w:rPr>
          <w:rFonts w:ascii="Times New Roman" w:hAnsi="Times New Roman" w:cs="Times New Roman"/>
          <w:b/>
          <w:bCs/>
          <w:color w:val="auto"/>
          <w:sz w:val="26"/>
          <w:szCs w:val="26"/>
        </w:rPr>
      </w:pPr>
      <w:r>
        <w:rPr>
          <w:rFonts w:ascii="Times New Roman" w:hAnsi="Times New Roman" w:cs="Times New Roman"/>
          <w:b/>
          <w:bCs/>
          <w:color w:val="auto"/>
          <w:sz w:val="26"/>
          <w:szCs w:val="26"/>
        </w:rPr>
        <w:lastRenderedPageBreak/>
        <w:t>Qualification Requirements of the Consulting Firm</w:t>
      </w:r>
    </w:p>
    <w:p w14:paraId="5137413F" w14:textId="52417E7C"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Demonstrated experience in the design of multi-story buildings, including at least two comparable assignments completed in the last 10 years;</w:t>
      </w:r>
    </w:p>
    <w:p w14:paraId="4FCEFFC7"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Demonstrated experience preparing environmental and social safeguards instruments under the World Bank ESF (or equivalent MDB safeguards frameworks such as the former OP/BP 4.01 or IFC Performance Standards);</w:t>
      </w:r>
    </w:p>
    <w:p w14:paraId="533752BA"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Experience working in fragile and conflict-affected settings (FCV), and specifically in Somalia or comparable Horn of Africa/East Africa contexts, is highly desirable;</w:t>
      </w:r>
    </w:p>
    <w:p w14:paraId="0C6D96D2"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Availability of, or ability to mobilize, the key experts listed in Section 7; and</w:t>
      </w:r>
    </w:p>
    <w:p w14:paraId="633FA352"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Sound financial standing and no conflict of interest with the Project, in accordance with the World Bank Procurement Regulations for IPF Borrowers.</w:t>
      </w:r>
    </w:p>
    <w:p w14:paraId="50100A41" w14:textId="77777777" w:rsidR="005D5BAF" w:rsidRPr="00F00EE3" w:rsidRDefault="00000000">
      <w:pPr>
        <w:pStyle w:val="Heading1"/>
        <w:pBdr>
          <w:bottom w:val="single" w:sz="6" w:space="4" w:color="1F3864"/>
        </w:pBdr>
        <w:spacing w:before="320" w:after="160"/>
        <w:rPr>
          <w:rFonts w:ascii="Times New Roman" w:hAnsi="Times New Roman" w:cs="Times New Roman"/>
          <w:color w:val="auto"/>
        </w:rPr>
      </w:pPr>
      <w:r>
        <w:rPr>
          <w:rFonts w:ascii="Times New Roman" w:hAnsi="Times New Roman" w:cs="Times New Roman"/>
          <w:b/>
          <w:bCs/>
          <w:color w:val="auto"/>
          <w:sz w:val="26"/>
          <w:szCs w:val="26"/>
        </w:rPr>
        <w:t>Annex A: Reference Documents to be Provided by the Client</w:t>
      </w:r>
    </w:p>
    <w:p w14:paraId="12665195"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Project Appraisal Document – Somalia Infrastructure Development for Access and Jobs, Phase 1 (P513127);</w:t>
      </w:r>
    </w:p>
    <w:p w14:paraId="7A547F2B"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Project Operations Manual (POM);</w:t>
      </w:r>
    </w:p>
    <w:p w14:paraId="169F7DC0"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Environmental and Social Commitment Plan (ESCP) and Stakeholder Engagement Plan (SEP) for the Project;</w:t>
      </w:r>
    </w:p>
    <w:p w14:paraId="7FA7DC3A"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Any existing survey plans, title deeds, or land allocation documentation for the identified plot;</w:t>
      </w:r>
    </w:p>
    <w:p w14:paraId="65B8A716"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MoPWRH organizational structure and staffing establishment, for use in the needs assessment; and</w:t>
      </w:r>
    </w:p>
    <w:p w14:paraId="77EEE728" w14:textId="77777777" w:rsidR="005D5BAF" w:rsidRPr="00F00EE3" w:rsidRDefault="00000000">
      <w:pPr>
        <w:pStyle w:val="ListParagraph"/>
        <w:numPr>
          <w:ilvl w:val="0"/>
          <w:numId w:val="2"/>
        </w:numPr>
        <w:spacing w:after="90" w:line="276" w:lineRule="auto"/>
        <w:jc w:val="both"/>
        <w:rPr>
          <w:rFonts w:ascii="Times New Roman" w:hAnsi="Times New Roman" w:cs="Times New Roman"/>
        </w:rPr>
      </w:pPr>
      <w:r>
        <w:rPr>
          <w:rFonts w:ascii="Times New Roman" w:hAnsi="Times New Roman" w:cs="Times New Roman"/>
        </w:rPr>
        <w:t>Any prior feasibility studies, master plans, or site assessments relevant to the plot.</w:t>
      </w:r>
    </w:p>
    <w:p w14:paraId="2326E684" w14:textId="77777777" w:rsidR="005D5BAF" w:rsidRPr="00F00EE3" w:rsidRDefault="005D5BAF">
      <w:pPr>
        <w:spacing w:before="400"/>
        <w:rPr>
          <w:rFonts w:ascii="Times New Roman" w:hAnsi="Times New Roman" w:cs="Times New Roman"/>
        </w:rPr>
      </w:pPr>
    </w:p>
    <w:sectPr w:rsidR="005D5BAF" w:rsidRPr="00F00EE3">
      <w:footerReference w:type="even" r:id="rId11"/>
      <w:footerReference w:type="default" r:id="rId12"/>
      <w:pgSz w:w="11906" w:h="16838"/>
      <w:pgMar w:top="1080" w:right="1100" w:bottom="108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302E78" w14:textId="77777777" w:rsidR="0067462C" w:rsidRDefault="0067462C" w:rsidP="00FA4CB8">
      <w:r>
        <w:separator/>
      </w:r>
    </w:p>
  </w:endnote>
  <w:endnote w:type="continuationSeparator" w:id="0">
    <w:p w14:paraId="506491B0" w14:textId="77777777" w:rsidR="0067462C" w:rsidRDefault="0067462C" w:rsidP="00FA4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279678"/>
      <w:docPartObj>
        <w:docPartGallery w:val="Page Numbers (Bottom of Page)"/>
        <w:docPartUnique/>
      </w:docPartObj>
    </w:sdtPr>
    <w:sdtContent>
      <w:p w14:paraId="4D76A9AE" w14:textId="77777777" w:rsidR="00FA4CB8" w:rsidRDefault="00FA4CB8" w:rsidP="00275E5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5866E1" w14:textId="77777777" w:rsidR="00FA4CB8" w:rsidRDefault="00FA4CB8" w:rsidP="00FA4CB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4269504"/>
      <w:docPartObj>
        <w:docPartGallery w:val="Page Numbers (Bottom of Page)"/>
        <w:docPartUnique/>
      </w:docPartObj>
    </w:sdtPr>
    <w:sdtContent>
      <w:p w14:paraId="44EA8FAF" w14:textId="77777777" w:rsidR="00FA4CB8" w:rsidRDefault="00FA4CB8" w:rsidP="00275E5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5971638" w14:textId="77777777" w:rsidR="00FA4CB8" w:rsidRDefault="00FA4CB8" w:rsidP="00FA4CB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FA220" w14:textId="77777777" w:rsidR="0067462C" w:rsidRDefault="0067462C" w:rsidP="00FA4CB8">
      <w:r>
        <w:separator/>
      </w:r>
    </w:p>
  </w:footnote>
  <w:footnote w:type="continuationSeparator" w:id="0">
    <w:p w14:paraId="286035AC" w14:textId="77777777" w:rsidR="0067462C" w:rsidRDefault="0067462C" w:rsidP="00FA4C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CE3C05"/>
    <w:multiLevelType w:val="hybridMultilevel"/>
    <w:tmpl w:val="77AA4DD0"/>
    <w:lvl w:ilvl="0" w:tplc="91E470CC">
      <w:start w:val="1"/>
      <w:numFmt w:val="bullet"/>
      <w:lvlText w:val="●"/>
      <w:lvlJc w:val="left"/>
      <w:pPr>
        <w:ind w:left="720" w:hanging="360"/>
      </w:pPr>
    </w:lvl>
    <w:lvl w:ilvl="1" w:tplc="B7B88444">
      <w:start w:val="1"/>
      <w:numFmt w:val="bullet"/>
      <w:lvlText w:val="○"/>
      <w:lvlJc w:val="left"/>
      <w:pPr>
        <w:ind w:left="1440" w:hanging="360"/>
      </w:pPr>
    </w:lvl>
    <w:lvl w:ilvl="2" w:tplc="982C51DE">
      <w:start w:val="1"/>
      <w:numFmt w:val="bullet"/>
      <w:lvlText w:val="■"/>
      <w:lvlJc w:val="left"/>
      <w:pPr>
        <w:ind w:left="2160" w:hanging="360"/>
      </w:pPr>
    </w:lvl>
    <w:lvl w:ilvl="3" w:tplc="44F279B6">
      <w:start w:val="1"/>
      <w:numFmt w:val="bullet"/>
      <w:lvlText w:val="●"/>
      <w:lvlJc w:val="left"/>
      <w:pPr>
        <w:ind w:left="2880" w:hanging="360"/>
      </w:pPr>
    </w:lvl>
    <w:lvl w:ilvl="4" w:tplc="D204977E">
      <w:start w:val="1"/>
      <w:numFmt w:val="bullet"/>
      <w:lvlText w:val="○"/>
      <w:lvlJc w:val="left"/>
      <w:pPr>
        <w:ind w:left="3600" w:hanging="360"/>
      </w:pPr>
    </w:lvl>
    <w:lvl w:ilvl="5" w:tplc="4EC41B58">
      <w:start w:val="1"/>
      <w:numFmt w:val="bullet"/>
      <w:lvlText w:val="■"/>
      <w:lvlJc w:val="left"/>
      <w:pPr>
        <w:ind w:left="4320" w:hanging="360"/>
      </w:pPr>
    </w:lvl>
    <w:lvl w:ilvl="6" w:tplc="65087AF4">
      <w:start w:val="1"/>
      <w:numFmt w:val="bullet"/>
      <w:lvlText w:val="●"/>
      <w:lvlJc w:val="left"/>
      <w:pPr>
        <w:ind w:left="5040" w:hanging="360"/>
      </w:pPr>
    </w:lvl>
    <w:lvl w:ilvl="7" w:tplc="42B0B022">
      <w:start w:val="1"/>
      <w:numFmt w:val="bullet"/>
      <w:lvlText w:val="●"/>
      <w:lvlJc w:val="left"/>
      <w:pPr>
        <w:ind w:left="5760" w:hanging="360"/>
      </w:pPr>
    </w:lvl>
    <w:lvl w:ilvl="8" w:tplc="79AC52C6">
      <w:start w:val="1"/>
      <w:numFmt w:val="bullet"/>
      <w:lvlText w:val="●"/>
      <w:lvlJc w:val="left"/>
      <w:pPr>
        <w:ind w:left="6480" w:hanging="360"/>
      </w:pPr>
    </w:lvl>
  </w:abstractNum>
  <w:abstractNum w:abstractNumId="1" w15:restartNumberingAfterBreak="0">
    <w:nsid w:val="39972359"/>
    <w:multiLevelType w:val="hybridMultilevel"/>
    <w:tmpl w:val="62ACC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B70A41"/>
    <w:multiLevelType w:val="hybridMultilevel"/>
    <w:tmpl w:val="036475C6"/>
    <w:lvl w:ilvl="0" w:tplc="BEFC62FC">
      <w:start w:val="1"/>
      <w:numFmt w:val="decimal"/>
      <w:lvlText w:val="%1."/>
      <w:lvlJc w:val="left"/>
      <w:pPr>
        <w:ind w:left="460" w:hanging="260"/>
      </w:pPr>
    </w:lvl>
    <w:lvl w:ilvl="1" w:tplc="C3D68832">
      <w:numFmt w:val="decimal"/>
      <w:lvlText w:val=""/>
      <w:lvlJc w:val="left"/>
    </w:lvl>
    <w:lvl w:ilvl="2" w:tplc="8048C872">
      <w:numFmt w:val="decimal"/>
      <w:lvlText w:val=""/>
      <w:lvlJc w:val="left"/>
    </w:lvl>
    <w:lvl w:ilvl="3" w:tplc="6A2EF2DC">
      <w:numFmt w:val="decimal"/>
      <w:lvlText w:val=""/>
      <w:lvlJc w:val="left"/>
    </w:lvl>
    <w:lvl w:ilvl="4" w:tplc="675EF7BA">
      <w:numFmt w:val="decimal"/>
      <w:lvlText w:val=""/>
      <w:lvlJc w:val="left"/>
    </w:lvl>
    <w:lvl w:ilvl="5" w:tplc="2D0ED9B0">
      <w:numFmt w:val="decimal"/>
      <w:lvlText w:val=""/>
      <w:lvlJc w:val="left"/>
    </w:lvl>
    <w:lvl w:ilvl="6" w:tplc="B630F9D4">
      <w:numFmt w:val="decimal"/>
      <w:lvlText w:val=""/>
      <w:lvlJc w:val="left"/>
    </w:lvl>
    <w:lvl w:ilvl="7" w:tplc="F81E3592">
      <w:numFmt w:val="decimal"/>
      <w:lvlText w:val=""/>
      <w:lvlJc w:val="left"/>
    </w:lvl>
    <w:lvl w:ilvl="8" w:tplc="A58A4286">
      <w:numFmt w:val="decimal"/>
      <w:lvlText w:val=""/>
      <w:lvlJc w:val="left"/>
    </w:lvl>
  </w:abstractNum>
  <w:abstractNum w:abstractNumId="3" w15:restartNumberingAfterBreak="0">
    <w:nsid w:val="6E3D67A1"/>
    <w:multiLevelType w:val="hybridMultilevel"/>
    <w:tmpl w:val="8FC4E3B2"/>
    <w:lvl w:ilvl="0" w:tplc="C9D69B5C">
      <w:start w:val="1"/>
      <w:numFmt w:val="bullet"/>
      <w:lvlText w:val="•"/>
      <w:lvlJc w:val="left"/>
      <w:pPr>
        <w:ind w:left="460" w:hanging="260"/>
      </w:pPr>
    </w:lvl>
    <w:lvl w:ilvl="1" w:tplc="AA1EEDDC">
      <w:start w:val="1"/>
      <w:numFmt w:val="bullet"/>
      <w:lvlText w:val="◦"/>
      <w:lvlJc w:val="left"/>
      <w:pPr>
        <w:ind w:left="820" w:hanging="260"/>
      </w:pPr>
    </w:lvl>
    <w:lvl w:ilvl="2" w:tplc="A686F2AA">
      <w:numFmt w:val="decimal"/>
      <w:lvlText w:val=""/>
      <w:lvlJc w:val="left"/>
    </w:lvl>
    <w:lvl w:ilvl="3" w:tplc="185E4C6E">
      <w:numFmt w:val="decimal"/>
      <w:lvlText w:val=""/>
      <w:lvlJc w:val="left"/>
    </w:lvl>
    <w:lvl w:ilvl="4" w:tplc="66C2A9EE">
      <w:numFmt w:val="decimal"/>
      <w:lvlText w:val=""/>
      <w:lvlJc w:val="left"/>
    </w:lvl>
    <w:lvl w:ilvl="5" w:tplc="91A050E4">
      <w:numFmt w:val="decimal"/>
      <w:lvlText w:val=""/>
      <w:lvlJc w:val="left"/>
    </w:lvl>
    <w:lvl w:ilvl="6" w:tplc="9E9C5AB6">
      <w:numFmt w:val="decimal"/>
      <w:lvlText w:val=""/>
      <w:lvlJc w:val="left"/>
    </w:lvl>
    <w:lvl w:ilvl="7" w:tplc="8C9482CC">
      <w:numFmt w:val="decimal"/>
      <w:lvlText w:val=""/>
      <w:lvlJc w:val="left"/>
    </w:lvl>
    <w:lvl w:ilvl="8" w:tplc="4814A56A">
      <w:numFmt w:val="decimal"/>
      <w:lvlText w:val=""/>
      <w:lvlJc w:val="left"/>
    </w:lvl>
  </w:abstractNum>
  <w:num w:numId="1" w16cid:durableId="1050492068">
    <w:abstractNumId w:val="0"/>
    <w:lvlOverride w:ilvl="0">
      <w:startOverride w:val="1"/>
    </w:lvlOverride>
  </w:num>
  <w:num w:numId="2" w16cid:durableId="299967814">
    <w:abstractNumId w:val="3"/>
    <w:lvlOverride w:ilvl="0">
      <w:startOverride w:val="1"/>
    </w:lvlOverride>
  </w:num>
  <w:num w:numId="3" w16cid:durableId="68507174">
    <w:abstractNumId w:val="2"/>
    <w:lvlOverride w:ilvl="0">
      <w:startOverride w:val="1"/>
    </w:lvlOverride>
  </w:num>
  <w:num w:numId="4" w16cid:durableId="51330481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F"/>
    <w:rsid w:val="0001466D"/>
    <w:rsid w:val="0019793E"/>
    <w:rsid w:val="001C1DA6"/>
    <w:rsid w:val="00203DA3"/>
    <w:rsid w:val="003B1A89"/>
    <w:rsid w:val="00452380"/>
    <w:rsid w:val="005D5BAF"/>
    <w:rsid w:val="005D669D"/>
    <w:rsid w:val="0067462C"/>
    <w:rsid w:val="006E6DCF"/>
    <w:rsid w:val="00704CEB"/>
    <w:rsid w:val="00770CF2"/>
    <w:rsid w:val="007946A5"/>
    <w:rsid w:val="0079749B"/>
    <w:rsid w:val="00851E9B"/>
    <w:rsid w:val="0087099B"/>
    <w:rsid w:val="008D5E68"/>
    <w:rsid w:val="00A35F3D"/>
    <w:rsid w:val="00B95876"/>
    <w:rsid w:val="00C07FB8"/>
    <w:rsid w:val="00D450B1"/>
    <w:rsid w:val="00DD37C8"/>
    <w:rsid w:val="00E04F24"/>
    <w:rsid w:val="00E5083C"/>
    <w:rsid w:val="00E622D8"/>
    <w:rsid w:val="00E70418"/>
    <w:rsid w:val="00EB41AF"/>
    <w:rsid w:val="00F00EE3"/>
    <w:rsid w:val="00F0246D"/>
    <w:rsid w:val="00FA4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D1DFC"/>
  <w15:docId w15:val="{E7368457-888F-8E46-A1A2-6E04830C7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FA4CB8"/>
    <w:pPr>
      <w:tabs>
        <w:tab w:val="center" w:pos="4680"/>
        <w:tab w:val="right" w:pos="9360"/>
      </w:tabs>
    </w:pPr>
  </w:style>
  <w:style w:type="character" w:customStyle="1" w:styleId="FooterChar">
    <w:name w:val="Footer Char"/>
    <w:basedOn w:val="DefaultParagraphFont"/>
    <w:link w:val="Footer"/>
    <w:uiPriority w:val="99"/>
    <w:rsid w:val="00FA4CB8"/>
  </w:style>
  <w:style w:type="character" w:styleId="PageNumber">
    <w:name w:val="page number"/>
    <w:basedOn w:val="DefaultParagraphFont"/>
    <w:uiPriority w:val="99"/>
    <w:semiHidden/>
    <w:unhideWhenUsed/>
    <w:rsid w:val="00FA4CB8"/>
  </w:style>
  <w:style w:type="paragraph" w:styleId="Revision">
    <w:name w:val="Revision"/>
    <w:hidden/>
    <w:uiPriority w:val="99"/>
    <w:semiHidden/>
    <w:rsid w:val="00D45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A7EB20-A116-430F-8BAA-CF66FB1EA6E2}">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2.xml><?xml version="1.0" encoding="utf-8"?>
<ds:datastoreItem xmlns:ds="http://schemas.openxmlformats.org/officeDocument/2006/customXml" ds:itemID="{C53D17C8-C5DC-4BCC-A079-D0C5C51E3C03}">
  <ds:schemaRefs>
    <ds:schemaRef ds:uri="http://schemas.microsoft.com/sharepoint/v3/contenttype/forms"/>
  </ds:schemaRefs>
</ds:datastoreItem>
</file>

<file path=customXml/itemProps3.xml><?xml version="1.0" encoding="utf-8"?>
<ds:datastoreItem xmlns:ds="http://schemas.openxmlformats.org/officeDocument/2006/customXml" ds:itemID="{3368BAE2-3977-4E73-B225-7976B1C4A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2992</Words>
  <Characters>19394</Characters>
  <Application>Microsoft Office Word</Application>
  <DocSecurity>0</DocSecurity>
  <Lines>352</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Hussein Jama</cp:lastModifiedBy>
  <cp:revision>3</cp:revision>
  <dcterms:created xsi:type="dcterms:W3CDTF">2026-09-07T10:57:00Z</dcterms:created>
  <dcterms:modified xsi:type="dcterms:W3CDTF">2026-09-24T12:33:00Z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