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420AA" w14:textId="1B2C9C1E" w:rsidR="009E3972" w:rsidRDefault="00D626FF">
      <w:pPr>
        <w:spacing w:before="200" w:after="100"/>
        <w:rPr>
          <w:b/>
          <w:color w:val="C88800"/>
          <w:sz w:val="48"/>
        </w:rPr>
      </w:pPr>
      <w:r>
        <w:rPr>
          <w:noProof/>
        </w:rPr>
        <w:drawing>
          <wp:anchor distT="0" distB="0" distL="114300" distR="114300" simplePos="0" relativeHeight="251659264" behindDoc="0" locked="0" layoutInCell="1" allowOverlap="1" wp14:anchorId="196DDBAE" wp14:editId="4CBA9FC1">
            <wp:simplePos x="0" y="0"/>
            <wp:positionH relativeFrom="column">
              <wp:posOffset>1123950</wp:posOffset>
            </wp:positionH>
            <wp:positionV relativeFrom="paragraph">
              <wp:posOffset>342900</wp:posOffset>
            </wp:positionV>
            <wp:extent cx="3333138" cy="1047750"/>
            <wp:effectExtent l="0" t="0" r="0" b="0"/>
            <wp:wrapNone/>
            <wp:docPr id="740837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0540" name="Picture 146710540"/>
                    <pic:cNvPicPr/>
                  </pic:nvPicPr>
                  <pic:blipFill rotWithShape="1">
                    <a:blip r:embed="rId8"/>
                    <a:srcRect r="22917"/>
                    <a:stretch>
                      <a:fillRect/>
                    </a:stretch>
                  </pic:blipFill>
                  <pic:spPr bwMode="auto">
                    <a:xfrm>
                      <a:off x="0" y="0"/>
                      <a:ext cx="3333138"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EAD25A" w14:textId="77777777" w:rsidR="009E3972" w:rsidRDefault="009E3972">
      <w:pPr>
        <w:spacing w:before="200" w:after="100"/>
        <w:rPr>
          <w:b/>
          <w:color w:val="C88800"/>
          <w:sz w:val="48"/>
        </w:rPr>
      </w:pPr>
    </w:p>
    <w:p w14:paraId="5C6EB072" w14:textId="77777777" w:rsidR="009E3972" w:rsidRDefault="009E3972">
      <w:pPr>
        <w:spacing w:before="200" w:after="100"/>
        <w:rPr>
          <w:b/>
          <w:color w:val="C88800"/>
          <w:sz w:val="48"/>
        </w:rPr>
      </w:pPr>
    </w:p>
    <w:p w14:paraId="2BD1871F" w14:textId="5894B849" w:rsidR="00672CFB" w:rsidRPr="00B069EA" w:rsidRDefault="00000000" w:rsidP="00B069EA">
      <w:pPr>
        <w:shd w:val="clear" w:color="auto" w:fill="E36C0A" w:themeFill="accent6" w:themeFillShade="BF"/>
        <w:spacing w:before="200" w:after="100"/>
        <w:jc w:val="center"/>
        <w:rPr>
          <w:color w:val="FFFFFF" w:themeColor="background1"/>
        </w:rPr>
      </w:pPr>
      <w:r w:rsidRPr="00B069EA">
        <w:rPr>
          <w:b/>
          <w:color w:val="FFFFFF" w:themeColor="background1"/>
          <w:sz w:val="48"/>
        </w:rPr>
        <w:t>TERMS OF REFERENCE</w:t>
      </w:r>
    </w:p>
    <w:p w14:paraId="24AB6829" w14:textId="77777777" w:rsidR="00D5058E" w:rsidRDefault="00D5058E" w:rsidP="00D5058E">
      <w:pPr>
        <w:spacing w:after="60"/>
        <w:jc w:val="center"/>
        <w:rPr>
          <w:b/>
          <w:color w:val="1F1F1F"/>
          <w:sz w:val="28"/>
        </w:rPr>
      </w:pPr>
    </w:p>
    <w:p w14:paraId="0427B7D8" w14:textId="555A07BC" w:rsidR="001728CA" w:rsidRDefault="001728CA" w:rsidP="001728CA">
      <w:pPr>
        <w:spacing w:after="160"/>
        <w:jc w:val="center"/>
      </w:pPr>
      <w:r w:rsidRPr="001728CA">
        <w:rPr>
          <w:b/>
          <w:color w:val="E36C0A" w:themeColor="accent6" w:themeShade="BF"/>
          <w:sz w:val="28"/>
        </w:rPr>
        <w:t>EXTERNAL CONSULTANT TO DEVELOP VAWG AND HARMFUL PRACTICES TRAINING CONTENT FOR SERVICE PROVIDERS</w:t>
      </w:r>
    </w:p>
    <w:p w14:paraId="553F300C" w14:textId="02C48575" w:rsidR="00881F39" w:rsidRPr="00D5058E" w:rsidRDefault="00881F39" w:rsidP="00D5058E">
      <w:pPr>
        <w:spacing w:after="60"/>
        <w:jc w:val="center"/>
        <w:rPr>
          <w:b/>
          <w:color w:val="E36C0A" w:themeColor="accent6" w:themeShade="BF"/>
          <w:sz w:val="32"/>
        </w:rPr>
      </w:pPr>
    </w:p>
    <w:p w14:paraId="019E8E20" w14:textId="77777777" w:rsidR="00881F39" w:rsidRPr="00881F39" w:rsidRDefault="00881F39" w:rsidP="00B069EA">
      <w:pPr>
        <w:spacing w:after="60"/>
        <w:jc w:val="center"/>
        <w:rPr>
          <w:b/>
          <w:bCs/>
          <w:color w:val="C88800"/>
          <w:sz w:val="44"/>
          <w:szCs w:val="32"/>
        </w:rPr>
      </w:pPr>
    </w:p>
    <w:p w14:paraId="58842F83" w14:textId="3FE62CB7" w:rsidR="00881F39" w:rsidRPr="00881F39" w:rsidRDefault="00881F39" w:rsidP="00881F39">
      <w:pPr>
        <w:jc w:val="center"/>
        <w:rPr>
          <w:b/>
          <w:bCs/>
          <w:sz w:val="32"/>
          <w:szCs w:val="32"/>
        </w:rPr>
      </w:pPr>
      <w:r w:rsidRPr="00881F39">
        <w:rPr>
          <w:b/>
          <w:bCs/>
          <w:sz w:val="32"/>
          <w:szCs w:val="32"/>
        </w:rPr>
        <w:t>Project Name: Ending Violence Against Women and Girls (EVAWG) Project</w:t>
      </w:r>
    </w:p>
    <w:p w14:paraId="621F99BE" w14:textId="5C95F308" w:rsidR="00881F39" w:rsidRPr="00881F39" w:rsidRDefault="00881F39" w:rsidP="00881F39">
      <w:pPr>
        <w:jc w:val="center"/>
      </w:pPr>
      <w:r w:rsidRPr="00881F39">
        <w:t>Supported by</w:t>
      </w:r>
      <w:r>
        <w:t xml:space="preserve">: </w:t>
      </w:r>
      <w:r w:rsidRPr="00881F39">
        <w:t>International Solidarity Foundation (ISF)</w:t>
      </w:r>
    </w:p>
    <w:p w14:paraId="7159F01A" w14:textId="0CD94F18" w:rsidR="00881F39" w:rsidRPr="00881F39" w:rsidRDefault="00881F39" w:rsidP="00881F39">
      <w:pPr>
        <w:jc w:val="center"/>
      </w:pPr>
      <w:r w:rsidRPr="00881F39">
        <w:t xml:space="preserve">Assignment </w:t>
      </w:r>
      <w:proofErr w:type="spellStart"/>
      <w:r w:rsidRPr="00881F39">
        <w:t>typ</w:t>
      </w:r>
      <w:proofErr w:type="spellEnd"/>
      <w:r w:rsidRPr="00881F39">
        <w:t>/Short-term external consultancy: training package development only</w:t>
      </w:r>
    </w:p>
    <w:p w14:paraId="225D0CBC" w14:textId="020DAE0F" w:rsidR="00881F39" w:rsidRPr="00881F39" w:rsidRDefault="00881F39" w:rsidP="00881F39">
      <w:pPr>
        <w:jc w:val="center"/>
      </w:pPr>
      <w:r w:rsidRPr="00881F39">
        <w:t>Assignment duration</w:t>
      </w:r>
      <w:r>
        <w:t xml:space="preserve">: </w:t>
      </w:r>
      <w:r w:rsidRPr="00881F39">
        <w:t>10 working days</w:t>
      </w:r>
    </w:p>
    <w:p w14:paraId="66BE425D" w14:textId="512B9AE1" w:rsidR="00881F39" w:rsidRPr="00881F39" w:rsidRDefault="00881F39" w:rsidP="00881F39">
      <w:pPr>
        <w:jc w:val="center"/>
      </w:pPr>
      <w:r w:rsidRPr="00881F39">
        <w:t>Training audience</w:t>
      </w:r>
      <w:r>
        <w:t xml:space="preserve">: </w:t>
      </w:r>
      <w:r w:rsidRPr="00881F39">
        <w:t>Health workers, social workers and other relevant service providers</w:t>
      </w:r>
    </w:p>
    <w:p w14:paraId="5A851857" w14:textId="771FC9CF" w:rsidR="00672CFB" w:rsidRDefault="00672CFB">
      <w:pPr>
        <w:spacing w:after="280"/>
      </w:pPr>
    </w:p>
    <w:p w14:paraId="2272781E" w14:textId="77777777" w:rsidR="00B069EA" w:rsidRDefault="00B069EA">
      <w:pPr>
        <w:pStyle w:val="Heading1"/>
        <w:rPr>
          <w:rFonts w:ascii="Calibri" w:hAnsi="Calibri"/>
        </w:rPr>
        <w:sectPr w:rsidR="00B069EA" w:rsidSect="009E3972">
          <w:headerReference w:type="default" r:id="rId9"/>
          <w:footerReference w:type="default" r:id="rId10"/>
          <w:headerReference w:type="first" r:id="rId11"/>
          <w:footerReference w:type="first" r:id="rId12"/>
          <w:pgSz w:w="11906" w:h="16838" w:code="9"/>
          <w:pgMar w:top="1152" w:right="1440" w:bottom="1152" w:left="1440" w:header="720" w:footer="708" w:gutter="0"/>
          <w:pgBorders w:display="notFirstPage" w:offsetFrom="page">
            <w:top w:val="single" w:sz="8" w:space="24" w:color="E36C0A" w:themeColor="accent6" w:themeShade="BF"/>
            <w:left w:val="single" w:sz="8" w:space="24" w:color="E36C0A" w:themeColor="accent6" w:themeShade="BF"/>
            <w:bottom w:val="single" w:sz="8" w:space="24" w:color="E36C0A" w:themeColor="accent6" w:themeShade="BF"/>
            <w:right w:val="single" w:sz="8" w:space="24" w:color="E36C0A" w:themeColor="accent6" w:themeShade="BF"/>
          </w:pgBorders>
          <w:cols w:space="720"/>
          <w:titlePg/>
          <w:docGrid w:linePitch="360"/>
        </w:sectPr>
      </w:pPr>
    </w:p>
    <w:p w14:paraId="69EEBD81" w14:textId="3F828E3C" w:rsidR="00672CFB" w:rsidRPr="00D626FF" w:rsidRDefault="00000000">
      <w:pPr>
        <w:pStyle w:val="Heading1"/>
        <w:rPr>
          <w:rFonts w:ascii="Calibri" w:hAnsi="Calibri"/>
          <w:color w:val="C88800"/>
        </w:rPr>
      </w:pPr>
      <w:r w:rsidRPr="00D626FF">
        <w:rPr>
          <w:rFonts w:ascii="Calibri" w:hAnsi="Calibri"/>
          <w:color w:val="C88800"/>
        </w:rPr>
        <w:lastRenderedPageBreak/>
        <w:t>1. Background</w:t>
      </w:r>
    </w:p>
    <w:p w14:paraId="1E2DD407" w14:textId="77777777" w:rsidR="001728CA" w:rsidRDefault="001728CA" w:rsidP="001728CA">
      <w:r>
        <w:rPr>
          <w:color w:val="1F1F1F"/>
          <w:sz w:val="21"/>
        </w:rPr>
        <w:t>Somaliland Y-PEER, with support from the International Solidarity Foundation (ISF), is implementing the Ending Violence Against Women and Girls (EVAWG) Project in Hargeisa and Burao. The project supports communities and institutions to prevent and respond to VAWG, including FGM/C and child and forced marriage.</w:t>
      </w:r>
    </w:p>
    <w:p w14:paraId="5F2BDE04" w14:textId="77777777" w:rsidR="001728CA" w:rsidRDefault="001728CA" w:rsidP="001728CA">
      <w:r>
        <w:rPr>
          <w:color w:val="1F1F1F"/>
          <w:sz w:val="21"/>
        </w:rPr>
        <w:t>Somaliland Y-PEER seeks an external consultant to develop a clear, practical and context-appropriate training package for health workers, social workers, police personnel, prosecutors, judicial and court personnel, legal/protection actors and other relevant service providers.</w:t>
      </w:r>
    </w:p>
    <w:p w14:paraId="30F1389D" w14:textId="77777777" w:rsidR="001728CA" w:rsidRDefault="001728CA" w:rsidP="001728CA">
      <w:pPr>
        <w:rPr>
          <w:color w:val="1F1F1F"/>
          <w:sz w:val="21"/>
        </w:rPr>
      </w:pPr>
      <w:r>
        <w:rPr>
          <w:color w:val="1F1F1F"/>
          <w:sz w:val="21"/>
        </w:rPr>
        <w:t>The package will help service providers understand VAWG and harmful practices, prevent violence, provide safe survivor-</w:t>
      </w:r>
      <w:proofErr w:type="spellStart"/>
      <w:r>
        <w:rPr>
          <w:color w:val="1F1F1F"/>
          <w:sz w:val="21"/>
        </w:rPr>
        <w:t>centred</w:t>
      </w:r>
      <w:proofErr w:type="spellEnd"/>
      <w:r>
        <w:rPr>
          <w:color w:val="1F1F1F"/>
          <w:sz w:val="21"/>
        </w:rPr>
        <w:t xml:space="preserve"> first-line support, use the existing project referral pathway, and strengthen safeguarding, action planning and accountability.</w:t>
      </w:r>
    </w:p>
    <w:p w14:paraId="7187D013" w14:textId="77777777" w:rsidR="001728CA" w:rsidRDefault="001728CA" w:rsidP="001728CA">
      <w:pPr>
        <w:rPr>
          <w:color w:val="1F1F1F"/>
          <w:sz w:val="21"/>
        </w:rPr>
      </w:pPr>
    </w:p>
    <w:p w14:paraId="287D88B8" w14:textId="77777777" w:rsidR="001728CA" w:rsidRPr="001C109C" w:rsidRDefault="001728CA" w:rsidP="001728CA">
      <w:pPr>
        <w:pStyle w:val="Heading1"/>
        <w:spacing w:before="220" w:after="100"/>
        <w:rPr>
          <w:rFonts w:ascii="Calibri" w:hAnsi="Calibri"/>
          <w:color w:val="E36C0A" w:themeColor="accent6" w:themeShade="BF"/>
        </w:rPr>
      </w:pPr>
      <w:r w:rsidRPr="001C109C">
        <w:rPr>
          <w:rFonts w:ascii="Calibri" w:hAnsi="Calibri"/>
          <w:color w:val="E36C0A" w:themeColor="accent6" w:themeShade="BF"/>
          <w:sz w:val="29"/>
        </w:rPr>
        <w:t>Objectives</w:t>
      </w:r>
    </w:p>
    <w:p w14:paraId="72F2BC2E" w14:textId="77777777" w:rsidR="001728CA" w:rsidRDefault="001728CA" w:rsidP="001728CA">
      <w:r>
        <w:rPr>
          <w:b/>
          <w:color w:val="1F1F1F"/>
          <w:sz w:val="21"/>
        </w:rPr>
        <w:t>Overall objective:</w:t>
      </w:r>
      <w:r>
        <w:rPr>
          <w:color w:val="1F1F1F"/>
          <w:sz w:val="21"/>
        </w:rPr>
        <w:t xml:space="preserve"> To develop a practical training package that strengthens service providers' knowledge and skills to prevent and respond safely to VAWG and harmful practices.</w:t>
      </w:r>
    </w:p>
    <w:p w14:paraId="652A1989" w14:textId="77777777" w:rsidR="001728CA" w:rsidRDefault="001728CA" w:rsidP="001728CA">
      <w:pPr>
        <w:tabs>
          <w:tab w:val="num" w:pos="720"/>
        </w:tabs>
        <w:spacing w:after="70"/>
        <w:ind w:left="720" w:hanging="360"/>
      </w:pPr>
      <w:r>
        <w:rPr>
          <w:color w:val="1F1F1F"/>
          <w:sz w:val="21"/>
        </w:rPr>
        <w:t>Explain gender, human rights, VAWG and harmful practices, including their causes and consequences.</w:t>
      </w:r>
    </w:p>
    <w:p w14:paraId="1B227B1B" w14:textId="77777777" w:rsidR="001728CA" w:rsidRDefault="001728CA" w:rsidP="001728CA">
      <w:pPr>
        <w:tabs>
          <w:tab w:val="num" w:pos="720"/>
        </w:tabs>
        <w:spacing w:after="70"/>
        <w:ind w:left="720" w:hanging="360"/>
      </w:pPr>
      <w:r>
        <w:rPr>
          <w:color w:val="1F1F1F"/>
          <w:sz w:val="21"/>
        </w:rPr>
        <w:t>Strengthen practical prevention skills, including community engagement, social norms change, male engagement and advocacy.</w:t>
      </w:r>
    </w:p>
    <w:p w14:paraId="14D98896" w14:textId="77777777" w:rsidR="001728CA" w:rsidRDefault="001728CA" w:rsidP="001728CA">
      <w:pPr>
        <w:tabs>
          <w:tab w:val="num" w:pos="720"/>
        </w:tabs>
        <w:spacing w:after="70"/>
        <w:ind w:left="720" w:hanging="360"/>
      </w:pPr>
      <w:r>
        <w:rPr>
          <w:color w:val="1F1F1F"/>
          <w:sz w:val="21"/>
        </w:rPr>
        <w:t>Build survivor-</w:t>
      </w:r>
      <w:proofErr w:type="spellStart"/>
      <w:r>
        <w:rPr>
          <w:color w:val="1F1F1F"/>
          <w:sz w:val="21"/>
        </w:rPr>
        <w:t>centred</w:t>
      </w:r>
      <w:proofErr w:type="spellEnd"/>
      <w:r>
        <w:rPr>
          <w:color w:val="1F1F1F"/>
          <w:sz w:val="21"/>
        </w:rPr>
        <w:t xml:space="preserve"> first-line support skills based on safety, confidentiality, informed consent, dignity and choice.</w:t>
      </w:r>
    </w:p>
    <w:p w14:paraId="7859AACB" w14:textId="77777777" w:rsidR="001728CA" w:rsidRDefault="001728CA" w:rsidP="001728CA">
      <w:pPr>
        <w:tabs>
          <w:tab w:val="num" w:pos="720"/>
        </w:tabs>
        <w:spacing w:after="70"/>
        <w:ind w:left="720" w:hanging="360"/>
      </w:pPr>
      <w:r>
        <w:rPr>
          <w:color w:val="1F1F1F"/>
          <w:sz w:val="21"/>
        </w:rPr>
        <w:t>Clarify referral, safeguarding, child protection, PSEA and the roles and limits of different service providers.</w:t>
      </w:r>
    </w:p>
    <w:p w14:paraId="22FA38D1" w14:textId="77777777" w:rsidR="001728CA" w:rsidRDefault="001728CA" w:rsidP="001728CA">
      <w:pPr>
        <w:tabs>
          <w:tab w:val="num" w:pos="720"/>
        </w:tabs>
        <w:spacing w:after="70"/>
        <w:ind w:left="720" w:hanging="360"/>
      </w:pPr>
      <w:r>
        <w:rPr>
          <w:color w:val="1F1F1F"/>
          <w:sz w:val="21"/>
        </w:rPr>
        <w:t>Improve action planning, monitoring, reporting and accountability for VAWG prevention and response.</w:t>
      </w:r>
    </w:p>
    <w:p w14:paraId="74626232" w14:textId="77777777" w:rsidR="001728CA" w:rsidRDefault="001728CA" w:rsidP="001728CA">
      <w:pPr>
        <w:tabs>
          <w:tab w:val="num" w:pos="720"/>
        </w:tabs>
        <w:spacing w:after="70"/>
        <w:ind w:left="720" w:hanging="360"/>
      </w:pPr>
      <w:r>
        <w:rPr>
          <w:color w:val="1F1F1F"/>
          <w:sz w:val="21"/>
        </w:rPr>
        <w:t>Provide ready-to-use facilitator, participant, assessment and evaluation materials.</w:t>
      </w:r>
    </w:p>
    <w:p w14:paraId="7D5E01CF" w14:textId="77777777" w:rsidR="001728CA" w:rsidRPr="001C109C" w:rsidRDefault="001728CA" w:rsidP="001728CA">
      <w:pPr>
        <w:pStyle w:val="Heading1"/>
        <w:spacing w:before="220" w:after="100"/>
        <w:rPr>
          <w:rFonts w:ascii="Calibri" w:hAnsi="Calibri"/>
          <w:color w:val="E36C0A" w:themeColor="accent6" w:themeShade="BF"/>
        </w:rPr>
      </w:pPr>
      <w:r w:rsidRPr="001C109C">
        <w:rPr>
          <w:rFonts w:ascii="Calibri" w:hAnsi="Calibri"/>
          <w:color w:val="E36C0A" w:themeColor="accent6" w:themeShade="BF"/>
          <w:sz w:val="29"/>
        </w:rPr>
        <w:t>Target Users and Design Requirements</w:t>
      </w:r>
    </w:p>
    <w:p w14:paraId="1A7866E6" w14:textId="77777777" w:rsidR="001728CA" w:rsidRDefault="001728CA" w:rsidP="001728CA">
      <w:pPr>
        <w:tabs>
          <w:tab w:val="num" w:pos="720"/>
        </w:tabs>
        <w:spacing w:after="70"/>
        <w:ind w:left="720" w:hanging="360"/>
      </w:pPr>
      <w:r>
        <w:rPr>
          <w:color w:val="1F1F1F"/>
          <w:sz w:val="21"/>
        </w:rPr>
        <w:t>Primary users: health workers; social workers and case-management personnel; police officers and investigators; prosecutors; judicial and court personnel; legal-aid, protection and other relevant service providers.</w:t>
      </w:r>
    </w:p>
    <w:p w14:paraId="18105368" w14:textId="77777777" w:rsidR="001728CA" w:rsidRDefault="001728CA" w:rsidP="001728CA">
      <w:pPr>
        <w:tabs>
          <w:tab w:val="num" w:pos="720"/>
        </w:tabs>
        <w:spacing w:after="70"/>
        <w:ind w:left="720" w:hanging="360"/>
      </w:pPr>
      <w:r>
        <w:rPr>
          <w:color w:val="1F1F1F"/>
          <w:sz w:val="21"/>
        </w:rPr>
        <w:t>Language: all materials must be in clear professional English and suitable for later adaptation or translation.</w:t>
      </w:r>
    </w:p>
    <w:p w14:paraId="455C8C0E" w14:textId="77777777" w:rsidR="001728CA" w:rsidRDefault="001728CA" w:rsidP="001728CA">
      <w:pPr>
        <w:tabs>
          <w:tab w:val="num" w:pos="720"/>
        </w:tabs>
        <w:spacing w:after="70"/>
        <w:ind w:left="720" w:hanging="360"/>
      </w:pPr>
      <w:r>
        <w:rPr>
          <w:color w:val="1F1F1F"/>
          <w:sz w:val="21"/>
        </w:rPr>
        <w:t>Duration: the future training duration is not predetermined. The consultant must recommend and justify the number of delivery days through a realistic modular agenda.</w:t>
      </w:r>
    </w:p>
    <w:p w14:paraId="0A75D5AC" w14:textId="77777777" w:rsidR="001728CA" w:rsidRDefault="001728CA" w:rsidP="001728CA">
      <w:pPr>
        <w:tabs>
          <w:tab w:val="num" w:pos="720"/>
        </w:tabs>
        <w:spacing w:after="70"/>
        <w:ind w:left="720" w:hanging="360"/>
      </w:pPr>
      <w:r>
        <w:rPr>
          <w:color w:val="1F1F1F"/>
          <w:sz w:val="21"/>
        </w:rPr>
        <w:t>Approach: participatory adult learning, using simple presentations, group work, case studies, role plays and practical exercises.</w:t>
      </w:r>
    </w:p>
    <w:p w14:paraId="6592E021" w14:textId="77777777" w:rsidR="001728CA" w:rsidRPr="001C109C" w:rsidRDefault="001728CA" w:rsidP="001728CA">
      <w:pPr>
        <w:pStyle w:val="Heading1"/>
        <w:spacing w:before="220" w:after="100"/>
        <w:rPr>
          <w:rFonts w:ascii="Calibri" w:hAnsi="Calibri"/>
          <w:color w:val="E36C0A" w:themeColor="accent6" w:themeShade="BF"/>
        </w:rPr>
      </w:pPr>
      <w:r w:rsidRPr="001C109C">
        <w:rPr>
          <w:rFonts w:ascii="Calibri" w:hAnsi="Calibri"/>
          <w:color w:val="E36C0A" w:themeColor="accent6" w:themeShade="BF"/>
          <w:sz w:val="29"/>
        </w:rPr>
        <w:t>Scope of Work</w:t>
      </w:r>
    </w:p>
    <w:p w14:paraId="4EAD381D" w14:textId="77777777" w:rsidR="001728CA" w:rsidRDefault="001728CA" w:rsidP="001728CA">
      <w:pPr>
        <w:tabs>
          <w:tab w:val="num" w:pos="720"/>
        </w:tabs>
        <w:spacing w:after="70"/>
        <w:ind w:left="720" w:hanging="360"/>
      </w:pPr>
      <w:r>
        <w:rPr>
          <w:color w:val="1F1F1F"/>
          <w:sz w:val="21"/>
        </w:rPr>
        <w:t>Review project documents, the approved referral pathway, relevant training resources, safeguarding requirements and verified legal/policy and institutional frameworks.</w:t>
      </w:r>
    </w:p>
    <w:p w14:paraId="664EA07A" w14:textId="77777777" w:rsidR="001728CA" w:rsidRDefault="001728CA" w:rsidP="001728CA">
      <w:pPr>
        <w:tabs>
          <w:tab w:val="num" w:pos="720"/>
        </w:tabs>
        <w:spacing w:after="70"/>
        <w:ind w:left="720" w:hanging="360"/>
      </w:pPr>
      <w:r>
        <w:rPr>
          <w:color w:val="1F1F1F"/>
          <w:sz w:val="21"/>
        </w:rPr>
        <w:t>Submit an inception note with the proposed competency framework, content structure, methodology, workplan and required inputs.</w:t>
      </w:r>
    </w:p>
    <w:p w14:paraId="716F5065" w14:textId="77777777" w:rsidR="001728CA" w:rsidRDefault="001728CA" w:rsidP="001728CA">
      <w:pPr>
        <w:tabs>
          <w:tab w:val="num" w:pos="720"/>
        </w:tabs>
        <w:spacing w:after="70"/>
        <w:ind w:left="720" w:hanging="360"/>
      </w:pPr>
      <w:r>
        <w:rPr>
          <w:color w:val="1F1F1F"/>
          <w:sz w:val="21"/>
        </w:rPr>
        <w:lastRenderedPageBreak/>
        <w:t>Define common and role-specific learning objectives for health, social welfare, police, prosecution, judiciary/courts and other service providers.</w:t>
      </w:r>
    </w:p>
    <w:p w14:paraId="566C17FE" w14:textId="77777777" w:rsidR="001728CA" w:rsidRDefault="001728CA" w:rsidP="001728CA">
      <w:pPr>
        <w:tabs>
          <w:tab w:val="num" w:pos="720"/>
        </w:tabs>
        <w:spacing w:after="70"/>
        <w:ind w:left="720" w:hanging="360"/>
      </w:pPr>
      <w:r>
        <w:rPr>
          <w:color w:val="1F1F1F"/>
          <w:sz w:val="21"/>
        </w:rPr>
        <w:t>Recommend and justify the number of future training days, with a detailed modular agenda showing objectives, methods and time allocations.</w:t>
      </w:r>
    </w:p>
    <w:p w14:paraId="0BE15B4B" w14:textId="77777777" w:rsidR="001728CA" w:rsidRDefault="001728CA" w:rsidP="001728CA">
      <w:pPr>
        <w:tabs>
          <w:tab w:val="num" w:pos="720"/>
        </w:tabs>
        <w:spacing w:after="70"/>
        <w:ind w:left="720" w:hanging="360"/>
      </w:pPr>
      <w:r>
        <w:rPr>
          <w:color w:val="1F1F1F"/>
          <w:sz w:val="21"/>
        </w:rPr>
        <w:t>Develop the complete manual, facilitator guide, slides, participant handouts/job aids, case studies, role plays and group exercises.</w:t>
      </w:r>
    </w:p>
    <w:p w14:paraId="5F7814ED" w14:textId="77777777" w:rsidR="001728CA" w:rsidRDefault="001728CA" w:rsidP="001728CA">
      <w:pPr>
        <w:tabs>
          <w:tab w:val="num" w:pos="720"/>
        </w:tabs>
        <w:spacing w:after="70"/>
        <w:ind w:left="720" w:hanging="360"/>
      </w:pPr>
      <w:r>
        <w:rPr>
          <w:color w:val="1F1F1F"/>
          <w:sz w:val="21"/>
        </w:rPr>
        <w:t>Develop pre/post-tests, answer and scoring guides, and a participant training-evaluation tool.</w:t>
      </w:r>
    </w:p>
    <w:p w14:paraId="1CC7A948" w14:textId="77777777" w:rsidR="001728CA" w:rsidRDefault="001728CA" w:rsidP="001728CA">
      <w:pPr>
        <w:tabs>
          <w:tab w:val="num" w:pos="720"/>
        </w:tabs>
        <w:spacing w:after="70"/>
        <w:ind w:left="720" w:hanging="360"/>
      </w:pPr>
      <w:r>
        <w:rPr>
          <w:color w:val="1F1F1F"/>
          <w:sz w:val="21"/>
        </w:rPr>
        <w:t>Use fictional, non-identifying and non-graphic scenarios that reflect Somaliland institutions and show safe coordination, referral and role boundaries.</w:t>
      </w:r>
    </w:p>
    <w:p w14:paraId="32B5F930" w14:textId="77777777" w:rsidR="001728CA" w:rsidRDefault="001728CA" w:rsidP="001728CA">
      <w:pPr>
        <w:tabs>
          <w:tab w:val="num" w:pos="720"/>
        </w:tabs>
        <w:spacing w:after="70"/>
        <w:ind w:left="720" w:hanging="360"/>
      </w:pPr>
      <w:r>
        <w:rPr>
          <w:color w:val="1F1F1F"/>
          <w:sz w:val="21"/>
        </w:rPr>
        <w:t>Present the draft for technical review, respond to consolidated Somaliland Y-PEER/ISF comments and submit a quality-checked final editable package.</w:t>
      </w:r>
    </w:p>
    <w:p w14:paraId="0A256B9A" w14:textId="77777777" w:rsidR="001728CA" w:rsidRPr="001C109C" w:rsidRDefault="001728CA" w:rsidP="001728CA">
      <w:pPr>
        <w:pStyle w:val="Heading1"/>
        <w:spacing w:before="220" w:after="100"/>
        <w:rPr>
          <w:rFonts w:ascii="Calibri" w:hAnsi="Calibri"/>
          <w:color w:val="E36C0A" w:themeColor="accent6" w:themeShade="BF"/>
        </w:rPr>
      </w:pPr>
      <w:r w:rsidRPr="001C109C">
        <w:rPr>
          <w:rFonts w:ascii="Calibri" w:hAnsi="Calibri"/>
          <w:color w:val="E36C0A" w:themeColor="accent6" w:themeShade="BF"/>
          <w:sz w:val="29"/>
        </w:rPr>
        <w:t>Training Modules and Content</w:t>
      </w:r>
    </w:p>
    <w:p w14:paraId="589D9928" w14:textId="3C6F372C" w:rsidR="001728CA" w:rsidRDefault="001728CA" w:rsidP="001728CA">
      <w:pPr>
        <w:tabs>
          <w:tab w:val="num" w:pos="720"/>
        </w:tabs>
        <w:spacing w:after="70"/>
        <w:ind w:left="720" w:hanging="360"/>
      </w:pPr>
      <w:r>
        <w:rPr>
          <w:b/>
          <w:color w:val="1F1F1F"/>
          <w:sz w:val="21"/>
        </w:rPr>
        <w:t>1: Introduction to Gender and Human Rights:</w:t>
      </w:r>
      <w:r>
        <w:rPr>
          <w:color w:val="1F1F1F"/>
          <w:sz w:val="21"/>
        </w:rPr>
        <w:t xml:space="preserve"> Gender concepts and terminology; gender equality and women's rights; power relations and social norms.</w:t>
      </w:r>
    </w:p>
    <w:p w14:paraId="310985CC" w14:textId="11A4603D" w:rsidR="001728CA" w:rsidRDefault="001728CA" w:rsidP="001728CA">
      <w:pPr>
        <w:tabs>
          <w:tab w:val="num" w:pos="720"/>
        </w:tabs>
        <w:spacing w:after="70"/>
        <w:ind w:left="720" w:hanging="360"/>
      </w:pPr>
      <w:r>
        <w:rPr>
          <w:b/>
          <w:color w:val="1F1F1F"/>
          <w:sz w:val="21"/>
        </w:rPr>
        <w:t>2: Understanding VAWG:</w:t>
      </w:r>
      <w:r>
        <w:rPr>
          <w:color w:val="1F1F1F"/>
          <w:sz w:val="21"/>
        </w:rPr>
        <w:t xml:space="preserve"> Definitions and forms of VAWG; root causes and contributing factors; consequences for individuals, families and communities.</w:t>
      </w:r>
    </w:p>
    <w:p w14:paraId="555EBD06" w14:textId="6A0CC20C" w:rsidR="001728CA" w:rsidRDefault="001728CA" w:rsidP="001728CA">
      <w:pPr>
        <w:tabs>
          <w:tab w:val="num" w:pos="720"/>
        </w:tabs>
        <w:spacing w:after="70"/>
        <w:ind w:left="720" w:hanging="360"/>
      </w:pPr>
      <w:r>
        <w:rPr>
          <w:b/>
          <w:color w:val="1F1F1F"/>
          <w:sz w:val="21"/>
        </w:rPr>
        <w:t>3: Harmful Practices:</w:t>
      </w:r>
      <w:r>
        <w:rPr>
          <w:color w:val="1F1F1F"/>
          <w:sz w:val="21"/>
        </w:rPr>
        <w:t xml:space="preserve"> Overview of harmful practices; child marriage; FGM/C; forced marriage; and other context-specific harmful practices.</w:t>
      </w:r>
    </w:p>
    <w:p w14:paraId="2E8667D2" w14:textId="067D47EA" w:rsidR="001728CA" w:rsidRDefault="001728CA" w:rsidP="001728CA">
      <w:pPr>
        <w:tabs>
          <w:tab w:val="num" w:pos="720"/>
        </w:tabs>
        <w:spacing w:after="70"/>
        <w:ind w:left="720" w:hanging="360"/>
      </w:pPr>
      <w:r>
        <w:rPr>
          <w:b/>
          <w:color w:val="1F1F1F"/>
          <w:sz w:val="21"/>
        </w:rPr>
        <w:t>4: Prevention Approaches:</w:t>
      </w:r>
      <w:r>
        <w:rPr>
          <w:color w:val="1F1F1F"/>
          <w:sz w:val="21"/>
        </w:rPr>
        <w:t xml:space="preserve"> </w:t>
      </w:r>
      <w:proofErr w:type="spellStart"/>
      <w:r>
        <w:rPr>
          <w:color w:val="1F1F1F"/>
          <w:sz w:val="21"/>
        </w:rPr>
        <w:t>Behaviour</w:t>
      </w:r>
      <w:proofErr w:type="spellEnd"/>
      <w:r>
        <w:rPr>
          <w:color w:val="1F1F1F"/>
          <w:sz w:val="21"/>
        </w:rPr>
        <w:t xml:space="preserve"> and social norms change; community engagement strategies; male engagement and positive masculinity; advocacy and awareness raising.</w:t>
      </w:r>
    </w:p>
    <w:p w14:paraId="7549B88E" w14:textId="0F3C91A9" w:rsidR="001728CA" w:rsidRDefault="001728CA" w:rsidP="001728CA">
      <w:pPr>
        <w:tabs>
          <w:tab w:val="num" w:pos="720"/>
        </w:tabs>
        <w:spacing w:after="70"/>
        <w:ind w:left="720" w:hanging="360"/>
      </w:pPr>
      <w:r>
        <w:rPr>
          <w:b/>
          <w:color w:val="1F1F1F"/>
          <w:sz w:val="21"/>
        </w:rPr>
        <w:t>5: Survivor-</w:t>
      </w:r>
      <w:proofErr w:type="spellStart"/>
      <w:r>
        <w:rPr>
          <w:b/>
          <w:color w:val="1F1F1F"/>
          <w:sz w:val="21"/>
        </w:rPr>
        <w:t>Centred</w:t>
      </w:r>
      <w:proofErr w:type="spellEnd"/>
      <w:r>
        <w:rPr>
          <w:b/>
          <w:color w:val="1F1F1F"/>
          <w:sz w:val="21"/>
        </w:rPr>
        <w:t xml:space="preserve"> Response:</w:t>
      </w:r>
      <w:r>
        <w:rPr>
          <w:color w:val="1F1F1F"/>
          <w:sz w:val="21"/>
        </w:rPr>
        <w:t xml:space="preserve"> Guiding principles; safe identification and first-line support; confidentiality and informed consent; the existing project referral pathway; psychological first aid and basic support; safe documentation and professional boundaries.</w:t>
      </w:r>
    </w:p>
    <w:p w14:paraId="283A148D" w14:textId="21ACB5F8" w:rsidR="001728CA" w:rsidRDefault="001728CA" w:rsidP="001728CA">
      <w:pPr>
        <w:tabs>
          <w:tab w:val="num" w:pos="720"/>
        </w:tabs>
        <w:spacing w:after="70"/>
        <w:ind w:left="720" w:hanging="360"/>
      </w:pPr>
      <w:r>
        <w:rPr>
          <w:b/>
          <w:color w:val="1F1F1F"/>
          <w:sz w:val="21"/>
        </w:rPr>
        <w:t>6: Legal and Policy Framework:</w:t>
      </w:r>
      <w:r>
        <w:rPr>
          <w:color w:val="1F1F1F"/>
          <w:sz w:val="21"/>
        </w:rPr>
        <w:t xml:space="preserve"> Verified national laws, policies and institutional roles; relevant international conventions and frameworks; rights-based approaches; and access to justice.</w:t>
      </w:r>
    </w:p>
    <w:p w14:paraId="57332D87" w14:textId="79CDC00F" w:rsidR="001728CA" w:rsidRDefault="001728CA" w:rsidP="001728CA">
      <w:pPr>
        <w:tabs>
          <w:tab w:val="num" w:pos="720"/>
        </w:tabs>
        <w:spacing w:after="70"/>
        <w:ind w:left="720" w:hanging="360"/>
      </w:pPr>
      <w:r>
        <w:rPr>
          <w:b/>
          <w:color w:val="1F1F1F"/>
          <w:sz w:val="21"/>
        </w:rPr>
        <w:t>7: Safeguarding and Protection:</w:t>
      </w:r>
      <w:r>
        <w:rPr>
          <w:color w:val="1F1F1F"/>
          <w:sz w:val="21"/>
        </w:rPr>
        <w:t xml:space="preserve"> Child protection considerations; safeguarding standards; prevention of sexual exploitation and abuse (PSEA); disability inclusion; and protection of other at-risk groups.</w:t>
      </w:r>
    </w:p>
    <w:p w14:paraId="616678BF" w14:textId="654DFEE6" w:rsidR="001728CA" w:rsidRDefault="001728CA" w:rsidP="001728CA">
      <w:pPr>
        <w:tabs>
          <w:tab w:val="num" w:pos="720"/>
        </w:tabs>
        <w:spacing w:after="70"/>
        <w:ind w:left="720" w:hanging="360"/>
      </w:pPr>
      <w:r>
        <w:rPr>
          <w:b/>
          <w:color w:val="1F1F1F"/>
          <w:sz w:val="21"/>
        </w:rPr>
        <w:t>8: Action Planning and Monitoring:</w:t>
      </w:r>
      <w:r>
        <w:rPr>
          <w:color w:val="1F1F1F"/>
          <w:sz w:val="21"/>
        </w:rPr>
        <w:t xml:space="preserve"> Community action plans; monitoring </w:t>
      </w:r>
      <w:proofErr w:type="spellStart"/>
      <w:r>
        <w:rPr>
          <w:color w:val="1F1F1F"/>
          <w:sz w:val="21"/>
        </w:rPr>
        <w:t>behavioural</w:t>
      </w:r>
      <w:proofErr w:type="spellEnd"/>
      <w:r>
        <w:rPr>
          <w:color w:val="1F1F1F"/>
          <w:sz w:val="21"/>
        </w:rPr>
        <w:t xml:space="preserve"> and social norms change; reporting, safe information management and accountability.</w:t>
      </w:r>
    </w:p>
    <w:p w14:paraId="33331606" w14:textId="77777777" w:rsidR="001728CA" w:rsidRPr="001C109C" w:rsidRDefault="001728CA" w:rsidP="001728CA">
      <w:pPr>
        <w:pStyle w:val="Heading1"/>
        <w:spacing w:before="220" w:after="100"/>
        <w:rPr>
          <w:rFonts w:ascii="Calibri" w:hAnsi="Calibri"/>
          <w:color w:val="E36C0A" w:themeColor="accent6" w:themeShade="BF"/>
        </w:rPr>
      </w:pPr>
      <w:r w:rsidRPr="001C109C">
        <w:rPr>
          <w:rFonts w:ascii="Calibri" w:hAnsi="Calibri"/>
          <w:color w:val="E36C0A" w:themeColor="accent6" w:themeShade="BF"/>
          <w:sz w:val="29"/>
        </w:rPr>
        <w:t>Required Package and Deliverables</w:t>
      </w:r>
    </w:p>
    <w:p w14:paraId="49E0A777" w14:textId="77777777" w:rsidR="001728CA" w:rsidRDefault="001728CA" w:rsidP="001728CA">
      <w:r>
        <w:rPr>
          <w:color w:val="1F1F1F"/>
          <w:sz w:val="21"/>
        </w:rPr>
        <w:t>The final package must include: a brief design note; recommended training duration and detailed agenda; training manual; facilitator guide; PowerPoint slides; participant handouts and job aids; practical exercises, role plays and case studies with facilitator notes; pre/post-tests with answers and scoring guidance; participant evaluation form; and a reference list.</w:t>
      </w:r>
    </w:p>
    <w:tbl>
      <w:tblPr>
        <w:tblW w:w="9024" w:type="dxa"/>
        <w:tblInd w:w="120" w:type="dxa"/>
        <w:tblBorders>
          <w:top w:val="single" w:sz="5" w:space="0" w:color="B8C7D3"/>
          <w:left w:val="single" w:sz="5" w:space="0" w:color="B8C7D3"/>
          <w:bottom w:val="single" w:sz="5" w:space="0" w:color="B8C7D3"/>
          <w:right w:val="single" w:sz="5" w:space="0" w:color="B8C7D3"/>
          <w:insideH w:val="single" w:sz="5" w:space="0" w:color="B8C7D3"/>
          <w:insideV w:val="single" w:sz="5" w:space="0" w:color="B8C7D3"/>
        </w:tblBorders>
        <w:tblLayout w:type="fixed"/>
        <w:tblLook w:val="04A0" w:firstRow="1" w:lastRow="0" w:firstColumn="1" w:lastColumn="0" w:noHBand="0" w:noVBand="1"/>
      </w:tblPr>
      <w:tblGrid>
        <w:gridCol w:w="500"/>
        <w:gridCol w:w="1750"/>
        <w:gridCol w:w="5674"/>
        <w:gridCol w:w="1100"/>
      </w:tblGrid>
      <w:tr w:rsidR="001728CA" w14:paraId="1A23C0AB" w14:textId="77777777" w:rsidTr="006307B6">
        <w:trPr>
          <w:tblHeader/>
        </w:trPr>
        <w:tc>
          <w:tcPr>
            <w:tcW w:w="500" w:type="dxa"/>
            <w:shd w:val="clear" w:color="auto" w:fill="E36C0A" w:themeFill="accent6" w:themeFillShade="BF"/>
            <w:tcMar>
              <w:top w:w="80" w:type="dxa"/>
              <w:left w:w="120" w:type="dxa"/>
              <w:bottom w:w="80" w:type="dxa"/>
              <w:right w:w="120" w:type="dxa"/>
            </w:tcMar>
            <w:vAlign w:val="center"/>
          </w:tcPr>
          <w:p w14:paraId="4A855E6A" w14:textId="77777777" w:rsidR="001728CA" w:rsidRDefault="001728CA" w:rsidP="006307B6">
            <w:pPr>
              <w:spacing w:after="0" w:line="245" w:lineRule="auto"/>
              <w:jc w:val="center"/>
            </w:pPr>
            <w:r>
              <w:rPr>
                <w:b/>
                <w:color w:val="FFFFFF"/>
                <w:sz w:val="16"/>
              </w:rPr>
              <w:t>No.</w:t>
            </w:r>
          </w:p>
        </w:tc>
        <w:tc>
          <w:tcPr>
            <w:tcW w:w="1750" w:type="dxa"/>
            <w:shd w:val="clear" w:color="auto" w:fill="E36C0A" w:themeFill="accent6" w:themeFillShade="BF"/>
            <w:tcMar>
              <w:top w:w="80" w:type="dxa"/>
              <w:left w:w="120" w:type="dxa"/>
              <w:bottom w:w="80" w:type="dxa"/>
              <w:right w:w="120" w:type="dxa"/>
            </w:tcMar>
            <w:vAlign w:val="center"/>
          </w:tcPr>
          <w:p w14:paraId="7983EEB5" w14:textId="77777777" w:rsidR="001728CA" w:rsidRDefault="001728CA" w:rsidP="006307B6">
            <w:pPr>
              <w:spacing w:after="0" w:line="245" w:lineRule="auto"/>
              <w:jc w:val="center"/>
            </w:pPr>
            <w:r>
              <w:rPr>
                <w:b/>
                <w:color w:val="FFFFFF"/>
                <w:sz w:val="16"/>
              </w:rPr>
              <w:t>Deliverable</w:t>
            </w:r>
          </w:p>
        </w:tc>
        <w:tc>
          <w:tcPr>
            <w:tcW w:w="5674" w:type="dxa"/>
            <w:shd w:val="clear" w:color="auto" w:fill="E36C0A" w:themeFill="accent6" w:themeFillShade="BF"/>
            <w:tcMar>
              <w:top w:w="80" w:type="dxa"/>
              <w:left w:w="120" w:type="dxa"/>
              <w:bottom w:w="80" w:type="dxa"/>
              <w:right w:w="120" w:type="dxa"/>
            </w:tcMar>
            <w:vAlign w:val="center"/>
          </w:tcPr>
          <w:p w14:paraId="55698CAA" w14:textId="77777777" w:rsidR="001728CA" w:rsidRDefault="001728CA" w:rsidP="006307B6">
            <w:pPr>
              <w:spacing w:after="0" w:line="245" w:lineRule="auto"/>
              <w:jc w:val="center"/>
            </w:pPr>
            <w:r>
              <w:rPr>
                <w:b/>
                <w:color w:val="FFFFFF"/>
                <w:sz w:val="16"/>
              </w:rPr>
              <w:t>Minimum content</w:t>
            </w:r>
          </w:p>
        </w:tc>
        <w:tc>
          <w:tcPr>
            <w:tcW w:w="1100" w:type="dxa"/>
            <w:shd w:val="clear" w:color="auto" w:fill="E36C0A" w:themeFill="accent6" w:themeFillShade="BF"/>
            <w:tcMar>
              <w:top w:w="80" w:type="dxa"/>
              <w:left w:w="120" w:type="dxa"/>
              <w:bottom w:w="80" w:type="dxa"/>
              <w:right w:w="120" w:type="dxa"/>
            </w:tcMar>
            <w:vAlign w:val="center"/>
          </w:tcPr>
          <w:p w14:paraId="4D4639C9" w14:textId="77777777" w:rsidR="001728CA" w:rsidRDefault="001728CA" w:rsidP="006307B6">
            <w:pPr>
              <w:spacing w:after="0" w:line="245" w:lineRule="auto"/>
              <w:jc w:val="center"/>
            </w:pPr>
            <w:r>
              <w:rPr>
                <w:b/>
                <w:color w:val="FFFFFF"/>
                <w:sz w:val="16"/>
              </w:rPr>
              <w:t>Due</w:t>
            </w:r>
          </w:p>
        </w:tc>
      </w:tr>
      <w:tr w:rsidR="001728CA" w14:paraId="47DD1331" w14:textId="77777777" w:rsidTr="006307B6">
        <w:tc>
          <w:tcPr>
            <w:tcW w:w="500" w:type="dxa"/>
            <w:tcMar>
              <w:top w:w="80" w:type="dxa"/>
              <w:left w:w="120" w:type="dxa"/>
              <w:bottom w:w="80" w:type="dxa"/>
              <w:right w:w="120" w:type="dxa"/>
            </w:tcMar>
            <w:vAlign w:val="center"/>
          </w:tcPr>
          <w:p w14:paraId="68A32221" w14:textId="77777777" w:rsidR="001728CA" w:rsidRDefault="001728CA" w:rsidP="006307B6">
            <w:pPr>
              <w:spacing w:after="0" w:line="245" w:lineRule="auto"/>
              <w:jc w:val="center"/>
            </w:pPr>
            <w:r>
              <w:rPr>
                <w:color w:val="1F1F1F"/>
                <w:sz w:val="16"/>
              </w:rPr>
              <w:t>1</w:t>
            </w:r>
          </w:p>
        </w:tc>
        <w:tc>
          <w:tcPr>
            <w:tcW w:w="1750" w:type="dxa"/>
            <w:tcMar>
              <w:top w:w="80" w:type="dxa"/>
              <w:left w:w="120" w:type="dxa"/>
              <w:bottom w:w="80" w:type="dxa"/>
              <w:right w:w="120" w:type="dxa"/>
            </w:tcMar>
            <w:vAlign w:val="center"/>
          </w:tcPr>
          <w:p w14:paraId="55614D2A" w14:textId="77777777" w:rsidR="001728CA" w:rsidRDefault="001728CA" w:rsidP="006307B6">
            <w:pPr>
              <w:spacing w:after="0" w:line="245" w:lineRule="auto"/>
            </w:pPr>
            <w:r>
              <w:rPr>
                <w:color w:val="1F1F1F"/>
                <w:sz w:val="16"/>
              </w:rPr>
              <w:t>Inception note</w:t>
            </w:r>
          </w:p>
        </w:tc>
        <w:tc>
          <w:tcPr>
            <w:tcW w:w="5674" w:type="dxa"/>
            <w:tcMar>
              <w:top w:w="80" w:type="dxa"/>
              <w:left w:w="120" w:type="dxa"/>
              <w:bottom w:w="80" w:type="dxa"/>
              <w:right w:w="120" w:type="dxa"/>
            </w:tcMar>
            <w:vAlign w:val="center"/>
          </w:tcPr>
          <w:p w14:paraId="10DA23CB" w14:textId="77777777" w:rsidR="001728CA" w:rsidRDefault="001728CA" w:rsidP="006307B6">
            <w:pPr>
              <w:spacing w:after="0" w:line="245" w:lineRule="auto"/>
            </w:pPr>
            <w:r>
              <w:rPr>
                <w:color w:val="1F1F1F"/>
                <w:sz w:val="16"/>
              </w:rPr>
              <w:t>Desk-review plan, competency framework, outline, methodology and workplan.</w:t>
            </w:r>
          </w:p>
        </w:tc>
        <w:tc>
          <w:tcPr>
            <w:tcW w:w="1100" w:type="dxa"/>
            <w:tcMar>
              <w:top w:w="80" w:type="dxa"/>
              <w:left w:w="120" w:type="dxa"/>
              <w:bottom w:w="80" w:type="dxa"/>
              <w:right w:w="120" w:type="dxa"/>
            </w:tcMar>
            <w:vAlign w:val="center"/>
          </w:tcPr>
          <w:p w14:paraId="1B9BECED" w14:textId="77777777" w:rsidR="001728CA" w:rsidRDefault="001728CA" w:rsidP="006307B6">
            <w:pPr>
              <w:spacing w:after="0" w:line="245" w:lineRule="auto"/>
              <w:jc w:val="center"/>
            </w:pPr>
            <w:r>
              <w:rPr>
                <w:color w:val="1F1F1F"/>
                <w:sz w:val="16"/>
              </w:rPr>
              <w:t>Day 2</w:t>
            </w:r>
          </w:p>
        </w:tc>
      </w:tr>
      <w:tr w:rsidR="001728CA" w14:paraId="6145B2B0" w14:textId="77777777" w:rsidTr="006307B6">
        <w:tc>
          <w:tcPr>
            <w:tcW w:w="500" w:type="dxa"/>
            <w:tcMar>
              <w:top w:w="80" w:type="dxa"/>
              <w:left w:w="120" w:type="dxa"/>
              <w:bottom w:w="80" w:type="dxa"/>
              <w:right w:w="120" w:type="dxa"/>
            </w:tcMar>
            <w:vAlign w:val="center"/>
          </w:tcPr>
          <w:p w14:paraId="07362981" w14:textId="77777777" w:rsidR="001728CA" w:rsidRDefault="001728CA" w:rsidP="006307B6">
            <w:pPr>
              <w:spacing w:after="0" w:line="245" w:lineRule="auto"/>
              <w:jc w:val="center"/>
            </w:pPr>
            <w:r>
              <w:rPr>
                <w:color w:val="1F1F1F"/>
                <w:sz w:val="16"/>
              </w:rPr>
              <w:t>2</w:t>
            </w:r>
          </w:p>
        </w:tc>
        <w:tc>
          <w:tcPr>
            <w:tcW w:w="1750" w:type="dxa"/>
            <w:tcMar>
              <w:top w:w="80" w:type="dxa"/>
              <w:left w:w="120" w:type="dxa"/>
              <w:bottom w:w="80" w:type="dxa"/>
              <w:right w:w="120" w:type="dxa"/>
            </w:tcMar>
            <w:vAlign w:val="center"/>
          </w:tcPr>
          <w:p w14:paraId="43E2E027" w14:textId="77777777" w:rsidR="001728CA" w:rsidRDefault="001728CA" w:rsidP="006307B6">
            <w:pPr>
              <w:spacing w:after="0" w:line="245" w:lineRule="auto"/>
            </w:pPr>
            <w:r>
              <w:rPr>
                <w:color w:val="1F1F1F"/>
                <w:sz w:val="16"/>
              </w:rPr>
              <w:t>Draft package</w:t>
            </w:r>
          </w:p>
        </w:tc>
        <w:tc>
          <w:tcPr>
            <w:tcW w:w="5674" w:type="dxa"/>
            <w:tcMar>
              <w:top w:w="80" w:type="dxa"/>
              <w:left w:w="120" w:type="dxa"/>
              <w:bottom w:w="80" w:type="dxa"/>
              <w:right w:w="120" w:type="dxa"/>
            </w:tcMar>
            <w:vAlign w:val="center"/>
          </w:tcPr>
          <w:p w14:paraId="71BE0B09" w14:textId="77777777" w:rsidR="001728CA" w:rsidRDefault="001728CA" w:rsidP="006307B6">
            <w:pPr>
              <w:spacing w:after="0" w:line="245" w:lineRule="auto"/>
            </w:pPr>
            <w:r>
              <w:rPr>
                <w:color w:val="1F1F1F"/>
                <w:sz w:val="16"/>
              </w:rPr>
              <w:t>All required components, including recommended duration and agenda.</w:t>
            </w:r>
          </w:p>
        </w:tc>
        <w:tc>
          <w:tcPr>
            <w:tcW w:w="1100" w:type="dxa"/>
            <w:tcMar>
              <w:top w:w="80" w:type="dxa"/>
              <w:left w:w="120" w:type="dxa"/>
              <w:bottom w:w="80" w:type="dxa"/>
              <w:right w:w="120" w:type="dxa"/>
            </w:tcMar>
            <w:vAlign w:val="center"/>
          </w:tcPr>
          <w:p w14:paraId="22BA546E" w14:textId="77777777" w:rsidR="001728CA" w:rsidRDefault="001728CA" w:rsidP="006307B6">
            <w:pPr>
              <w:spacing w:after="0" w:line="245" w:lineRule="auto"/>
              <w:jc w:val="center"/>
            </w:pPr>
            <w:r>
              <w:rPr>
                <w:color w:val="1F1F1F"/>
                <w:sz w:val="16"/>
              </w:rPr>
              <w:t>Day 7</w:t>
            </w:r>
          </w:p>
        </w:tc>
      </w:tr>
      <w:tr w:rsidR="001728CA" w14:paraId="2CD0765F" w14:textId="77777777" w:rsidTr="006307B6">
        <w:tc>
          <w:tcPr>
            <w:tcW w:w="500" w:type="dxa"/>
            <w:tcMar>
              <w:top w:w="80" w:type="dxa"/>
              <w:left w:w="120" w:type="dxa"/>
              <w:bottom w:w="80" w:type="dxa"/>
              <w:right w:w="120" w:type="dxa"/>
            </w:tcMar>
            <w:vAlign w:val="center"/>
          </w:tcPr>
          <w:p w14:paraId="49E4E2A7" w14:textId="77777777" w:rsidR="001728CA" w:rsidRDefault="001728CA" w:rsidP="006307B6">
            <w:pPr>
              <w:spacing w:after="0" w:line="245" w:lineRule="auto"/>
              <w:jc w:val="center"/>
            </w:pPr>
            <w:r>
              <w:rPr>
                <w:color w:val="1F1F1F"/>
                <w:sz w:val="16"/>
              </w:rPr>
              <w:t>3</w:t>
            </w:r>
          </w:p>
        </w:tc>
        <w:tc>
          <w:tcPr>
            <w:tcW w:w="1750" w:type="dxa"/>
            <w:tcMar>
              <w:top w:w="80" w:type="dxa"/>
              <w:left w:w="120" w:type="dxa"/>
              <w:bottom w:w="80" w:type="dxa"/>
              <w:right w:w="120" w:type="dxa"/>
            </w:tcMar>
            <w:vAlign w:val="center"/>
          </w:tcPr>
          <w:p w14:paraId="6CD7FCE7" w14:textId="77777777" w:rsidR="001728CA" w:rsidRDefault="001728CA" w:rsidP="006307B6">
            <w:pPr>
              <w:spacing w:after="0" w:line="245" w:lineRule="auto"/>
            </w:pPr>
            <w:r>
              <w:rPr>
                <w:color w:val="1F1F1F"/>
                <w:sz w:val="16"/>
              </w:rPr>
              <w:t>Technical review</w:t>
            </w:r>
          </w:p>
        </w:tc>
        <w:tc>
          <w:tcPr>
            <w:tcW w:w="5674" w:type="dxa"/>
            <w:tcMar>
              <w:top w:w="80" w:type="dxa"/>
              <w:left w:w="120" w:type="dxa"/>
              <w:bottom w:w="80" w:type="dxa"/>
              <w:right w:w="120" w:type="dxa"/>
            </w:tcMar>
            <w:vAlign w:val="center"/>
          </w:tcPr>
          <w:p w14:paraId="350E1AC3" w14:textId="77777777" w:rsidR="001728CA" w:rsidRDefault="001728CA" w:rsidP="006307B6">
            <w:pPr>
              <w:spacing w:after="0" w:line="245" w:lineRule="auto"/>
            </w:pPr>
            <w:r>
              <w:rPr>
                <w:color w:val="1F1F1F"/>
                <w:sz w:val="16"/>
              </w:rPr>
              <w:t>Presentation, consolidated feedback and revision log.</w:t>
            </w:r>
          </w:p>
        </w:tc>
        <w:tc>
          <w:tcPr>
            <w:tcW w:w="1100" w:type="dxa"/>
            <w:tcMar>
              <w:top w:w="80" w:type="dxa"/>
              <w:left w:w="120" w:type="dxa"/>
              <w:bottom w:w="80" w:type="dxa"/>
              <w:right w:w="120" w:type="dxa"/>
            </w:tcMar>
            <w:vAlign w:val="center"/>
          </w:tcPr>
          <w:p w14:paraId="79257398" w14:textId="77777777" w:rsidR="001728CA" w:rsidRDefault="001728CA" w:rsidP="006307B6">
            <w:pPr>
              <w:spacing w:after="0" w:line="245" w:lineRule="auto"/>
              <w:jc w:val="center"/>
            </w:pPr>
            <w:r>
              <w:rPr>
                <w:color w:val="1F1F1F"/>
                <w:sz w:val="16"/>
              </w:rPr>
              <w:t>Days 8-9</w:t>
            </w:r>
          </w:p>
        </w:tc>
      </w:tr>
      <w:tr w:rsidR="001728CA" w14:paraId="0176E8C4" w14:textId="77777777" w:rsidTr="006307B6">
        <w:tc>
          <w:tcPr>
            <w:tcW w:w="500" w:type="dxa"/>
            <w:tcMar>
              <w:top w:w="80" w:type="dxa"/>
              <w:left w:w="120" w:type="dxa"/>
              <w:bottom w:w="80" w:type="dxa"/>
              <w:right w:w="120" w:type="dxa"/>
            </w:tcMar>
            <w:vAlign w:val="center"/>
          </w:tcPr>
          <w:p w14:paraId="5459E092" w14:textId="77777777" w:rsidR="001728CA" w:rsidRDefault="001728CA" w:rsidP="006307B6">
            <w:pPr>
              <w:spacing w:after="0" w:line="245" w:lineRule="auto"/>
              <w:jc w:val="center"/>
            </w:pPr>
            <w:r>
              <w:rPr>
                <w:color w:val="1F1F1F"/>
                <w:sz w:val="16"/>
              </w:rPr>
              <w:t>4</w:t>
            </w:r>
          </w:p>
        </w:tc>
        <w:tc>
          <w:tcPr>
            <w:tcW w:w="1750" w:type="dxa"/>
            <w:tcMar>
              <w:top w:w="80" w:type="dxa"/>
              <w:left w:w="120" w:type="dxa"/>
              <w:bottom w:w="80" w:type="dxa"/>
              <w:right w:w="120" w:type="dxa"/>
            </w:tcMar>
            <w:vAlign w:val="center"/>
          </w:tcPr>
          <w:p w14:paraId="17091483" w14:textId="77777777" w:rsidR="001728CA" w:rsidRDefault="001728CA" w:rsidP="006307B6">
            <w:pPr>
              <w:spacing w:after="0" w:line="245" w:lineRule="auto"/>
            </w:pPr>
            <w:r>
              <w:rPr>
                <w:color w:val="1F1F1F"/>
                <w:sz w:val="16"/>
              </w:rPr>
              <w:t>Final package</w:t>
            </w:r>
          </w:p>
        </w:tc>
        <w:tc>
          <w:tcPr>
            <w:tcW w:w="5674" w:type="dxa"/>
            <w:tcMar>
              <w:top w:w="80" w:type="dxa"/>
              <w:left w:w="120" w:type="dxa"/>
              <w:bottom w:w="80" w:type="dxa"/>
              <w:right w:w="120" w:type="dxa"/>
            </w:tcMar>
            <w:vAlign w:val="center"/>
          </w:tcPr>
          <w:p w14:paraId="5264A667" w14:textId="77777777" w:rsidR="001728CA" w:rsidRDefault="001728CA" w:rsidP="006307B6">
            <w:pPr>
              <w:spacing w:after="0" w:line="245" w:lineRule="auto"/>
            </w:pPr>
            <w:r>
              <w:rPr>
                <w:color w:val="1F1F1F"/>
                <w:sz w:val="16"/>
              </w:rPr>
              <w:t>Comments incorporated; sources and cross-references checked; editable and final files.</w:t>
            </w:r>
          </w:p>
        </w:tc>
        <w:tc>
          <w:tcPr>
            <w:tcW w:w="1100" w:type="dxa"/>
            <w:tcMar>
              <w:top w:w="80" w:type="dxa"/>
              <w:left w:w="120" w:type="dxa"/>
              <w:bottom w:w="80" w:type="dxa"/>
              <w:right w:w="120" w:type="dxa"/>
            </w:tcMar>
            <w:vAlign w:val="center"/>
          </w:tcPr>
          <w:p w14:paraId="7A509BD3" w14:textId="77777777" w:rsidR="001728CA" w:rsidRDefault="001728CA" w:rsidP="006307B6">
            <w:pPr>
              <w:spacing w:after="0" w:line="245" w:lineRule="auto"/>
              <w:jc w:val="center"/>
            </w:pPr>
            <w:r>
              <w:rPr>
                <w:color w:val="1F1F1F"/>
                <w:sz w:val="16"/>
              </w:rPr>
              <w:t>Day 10</w:t>
            </w:r>
          </w:p>
        </w:tc>
      </w:tr>
    </w:tbl>
    <w:p w14:paraId="49CC4519" w14:textId="77777777" w:rsidR="001728CA" w:rsidRPr="001C109C" w:rsidRDefault="001728CA" w:rsidP="001728CA">
      <w:pPr>
        <w:pStyle w:val="Heading1"/>
        <w:spacing w:before="220" w:after="100"/>
        <w:rPr>
          <w:color w:val="E36C0A" w:themeColor="accent6" w:themeShade="BF"/>
        </w:rPr>
      </w:pPr>
      <w:r w:rsidRPr="001C109C">
        <w:rPr>
          <w:rFonts w:ascii="Calibri" w:hAnsi="Calibri"/>
          <w:color w:val="E36C0A" w:themeColor="accent6" w:themeShade="BF"/>
          <w:sz w:val="29"/>
        </w:rPr>
        <w:lastRenderedPageBreak/>
        <w:t>Format, Quality and Safeguarding Standards</w:t>
      </w:r>
    </w:p>
    <w:p w14:paraId="3C83BC21" w14:textId="77777777" w:rsidR="001728CA" w:rsidRDefault="001728CA" w:rsidP="009F0D33">
      <w:pPr>
        <w:pStyle w:val="ListParagraph"/>
        <w:numPr>
          <w:ilvl w:val="0"/>
          <w:numId w:val="20"/>
        </w:numPr>
        <w:tabs>
          <w:tab w:val="num" w:pos="720"/>
        </w:tabs>
        <w:spacing w:after="70"/>
      </w:pPr>
      <w:r w:rsidRPr="009F0D33">
        <w:rPr>
          <w:color w:val="1F1F1F"/>
          <w:sz w:val="21"/>
        </w:rPr>
        <w:t>Submit manuals/handouts in editable Word and final PDF, slides in editable PowerPoint, and tests/evaluation tools in printable editable formats; maintain consistent terminology, numbering and version control.</w:t>
      </w:r>
    </w:p>
    <w:p w14:paraId="24D52072" w14:textId="77777777" w:rsidR="001728CA" w:rsidRDefault="001728CA" w:rsidP="009F0D33">
      <w:pPr>
        <w:pStyle w:val="ListParagraph"/>
        <w:numPr>
          <w:ilvl w:val="0"/>
          <w:numId w:val="20"/>
        </w:numPr>
        <w:tabs>
          <w:tab w:val="num" w:pos="720"/>
        </w:tabs>
        <w:spacing w:after="70"/>
      </w:pPr>
      <w:r w:rsidRPr="009F0D33">
        <w:rPr>
          <w:color w:val="1F1F1F"/>
          <w:sz w:val="21"/>
        </w:rPr>
        <w:t>Use simple, practical adult-learning methods. Clearly label content that applies only to specific professions.</w:t>
      </w:r>
    </w:p>
    <w:p w14:paraId="1F4A82D1" w14:textId="77777777" w:rsidR="001728CA" w:rsidRDefault="001728CA" w:rsidP="009F0D33">
      <w:pPr>
        <w:pStyle w:val="ListParagraph"/>
        <w:numPr>
          <w:ilvl w:val="0"/>
          <w:numId w:val="20"/>
        </w:numPr>
        <w:tabs>
          <w:tab w:val="num" w:pos="720"/>
        </w:tabs>
        <w:spacing w:after="70"/>
      </w:pPr>
      <w:r w:rsidRPr="009F0D33">
        <w:rPr>
          <w:color w:val="1F1F1F"/>
          <w:sz w:val="21"/>
        </w:rPr>
        <w:t>Ensure technical accuracy and cite principal sources. Legal/procedural claims and role-specific confidentiality or reporting duties must be verified rather than assumed.</w:t>
      </w:r>
    </w:p>
    <w:p w14:paraId="088957C2" w14:textId="77777777" w:rsidR="001728CA" w:rsidRDefault="001728CA" w:rsidP="009F0D33">
      <w:pPr>
        <w:pStyle w:val="ListParagraph"/>
        <w:numPr>
          <w:ilvl w:val="0"/>
          <w:numId w:val="20"/>
        </w:numPr>
        <w:tabs>
          <w:tab w:val="num" w:pos="720"/>
        </w:tabs>
        <w:spacing w:after="70"/>
      </w:pPr>
      <w:r w:rsidRPr="009F0D33">
        <w:rPr>
          <w:color w:val="1F1F1F"/>
          <w:sz w:val="21"/>
        </w:rPr>
        <w:t>Apply survivor-</w:t>
      </w:r>
      <w:proofErr w:type="spellStart"/>
      <w:r w:rsidRPr="009F0D33">
        <w:rPr>
          <w:color w:val="1F1F1F"/>
          <w:sz w:val="21"/>
        </w:rPr>
        <w:t>centred</w:t>
      </w:r>
      <w:proofErr w:type="spellEnd"/>
      <w:r w:rsidRPr="009F0D33">
        <w:rPr>
          <w:color w:val="1F1F1F"/>
          <w:sz w:val="21"/>
        </w:rPr>
        <w:t>, trauma-informed and do-no-harm principles. Scenarios must be fictional, non-identifying, non-graphic and allow safe participation.</w:t>
      </w:r>
    </w:p>
    <w:p w14:paraId="17F85A10" w14:textId="77777777" w:rsidR="001728CA" w:rsidRDefault="001728CA" w:rsidP="009F0D33">
      <w:pPr>
        <w:pStyle w:val="ListParagraph"/>
        <w:numPr>
          <w:ilvl w:val="0"/>
          <w:numId w:val="20"/>
        </w:numPr>
        <w:tabs>
          <w:tab w:val="num" w:pos="720"/>
        </w:tabs>
        <w:spacing w:after="70"/>
      </w:pPr>
      <w:r w:rsidRPr="009F0D33">
        <w:rPr>
          <w:color w:val="1F1F1F"/>
          <w:sz w:val="21"/>
        </w:rPr>
        <w:t>Do not collect survivor interviews or case histories. No identifiable survivor information may appear in materials, examples, shared drives or consultant devices.</w:t>
      </w:r>
    </w:p>
    <w:p w14:paraId="2DA3CE36" w14:textId="77777777" w:rsidR="001728CA" w:rsidRDefault="001728CA" w:rsidP="009F0D33">
      <w:pPr>
        <w:pStyle w:val="ListParagraph"/>
        <w:numPr>
          <w:ilvl w:val="0"/>
          <w:numId w:val="20"/>
        </w:numPr>
        <w:tabs>
          <w:tab w:val="num" w:pos="720"/>
        </w:tabs>
        <w:spacing w:after="70"/>
      </w:pPr>
      <w:r w:rsidRPr="009F0D33">
        <w:rPr>
          <w:color w:val="1F1F1F"/>
          <w:sz w:val="21"/>
        </w:rPr>
        <w:t>Address children/adolescents through child-safeguarding and best-interest principles. Respect disability, age, displacement, minority status and other vulnerability factors.</w:t>
      </w:r>
    </w:p>
    <w:p w14:paraId="002AC284" w14:textId="77777777" w:rsidR="001728CA" w:rsidRDefault="001728CA" w:rsidP="009F0D33">
      <w:pPr>
        <w:pStyle w:val="ListParagraph"/>
        <w:numPr>
          <w:ilvl w:val="0"/>
          <w:numId w:val="20"/>
        </w:numPr>
        <w:tabs>
          <w:tab w:val="num" w:pos="720"/>
        </w:tabs>
        <w:spacing w:after="70"/>
      </w:pPr>
      <w:r w:rsidRPr="009F0D33">
        <w:rPr>
          <w:color w:val="1F1F1F"/>
          <w:sz w:val="21"/>
        </w:rPr>
        <w:t>State clearly that the package does not replace specialist clinical, psychosocial, case-management, forensic, police or judicial training.</w:t>
      </w:r>
    </w:p>
    <w:p w14:paraId="0374EDB7" w14:textId="77777777" w:rsidR="001728CA" w:rsidRPr="001C109C" w:rsidRDefault="001728CA" w:rsidP="001728CA">
      <w:pPr>
        <w:pStyle w:val="Heading1"/>
        <w:spacing w:before="220" w:after="100"/>
        <w:rPr>
          <w:color w:val="E36C0A" w:themeColor="accent6" w:themeShade="BF"/>
        </w:rPr>
      </w:pPr>
      <w:r w:rsidRPr="001C109C">
        <w:rPr>
          <w:rFonts w:ascii="Calibri" w:hAnsi="Calibri"/>
          <w:color w:val="E36C0A" w:themeColor="accent6" w:themeShade="BF"/>
          <w:sz w:val="29"/>
        </w:rPr>
        <w:t>Management, Review and Payment</w:t>
      </w:r>
    </w:p>
    <w:p w14:paraId="37D03BF5" w14:textId="77777777" w:rsidR="001728CA" w:rsidRDefault="001728CA" w:rsidP="001728CA">
      <w:r>
        <w:rPr>
          <w:color w:val="1F1F1F"/>
          <w:sz w:val="21"/>
        </w:rPr>
        <w:t>The consultant will report to the Somaliland Y-PEER EVAWG Project Manager or designated focal person. Technical review and acceptance will be undertaken by Somaliland Y-PEER in consultation with ISF, as applicable.</w:t>
      </w:r>
    </w:p>
    <w:p w14:paraId="4A98E9E0" w14:textId="77777777" w:rsidR="001728CA" w:rsidRDefault="001728CA" w:rsidP="001728CA">
      <w:pPr>
        <w:tabs>
          <w:tab w:val="num" w:pos="720"/>
        </w:tabs>
        <w:spacing w:after="70"/>
        <w:ind w:left="720" w:hanging="360"/>
      </w:pPr>
      <w:r>
        <w:rPr>
          <w:color w:val="1F1F1F"/>
          <w:sz w:val="21"/>
        </w:rPr>
        <w:t>Somaliland Y-PEER will provide relevant project documents, the approved referral pathway, safeguarding requirements, coordination support and one set of consolidated comments at each review stage.</w:t>
      </w:r>
    </w:p>
    <w:p w14:paraId="67510F17" w14:textId="77777777" w:rsidR="001728CA" w:rsidRDefault="001728CA" w:rsidP="001728CA">
      <w:pPr>
        <w:tabs>
          <w:tab w:val="num" w:pos="720"/>
        </w:tabs>
        <w:spacing w:after="70"/>
        <w:ind w:left="720" w:hanging="360"/>
      </w:pPr>
      <w:r>
        <w:rPr>
          <w:color w:val="1F1F1F"/>
          <w:sz w:val="21"/>
        </w:rPr>
        <w:t>The consultant will manage the 10-day workplan, maintain regular communication and version control, flag risks promptly and ensure technical accuracy and consistency across all package components.</w:t>
      </w:r>
    </w:p>
    <w:p w14:paraId="2BBCC198" w14:textId="77777777" w:rsidR="001728CA" w:rsidRDefault="001728CA" w:rsidP="001728CA">
      <w:pPr>
        <w:tabs>
          <w:tab w:val="num" w:pos="720"/>
        </w:tabs>
        <w:spacing w:after="70"/>
        <w:ind w:left="720" w:hanging="360"/>
      </w:pPr>
      <w:r>
        <w:rPr>
          <w:color w:val="1F1F1F"/>
          <w:sz w:val="21"/>
        </w:rPr>
        <w:t>Payment will be linked to satisfactory completion and formal acceptance of deliverables in accordance with the consultancy contract.</w:t>
      </w:r>
    </w:p>
    <w:p w14:paraId="035BAEB4" w14:textId="77777777" w:rsidR="001728CA" w:rsidRPr="001C109C" w:rsidRDefault="001728CA" w:rsidP="001728CA">
      <w:pPr>
        <w:pStyle w:val="Heading1"/>
        <w:spacing w:before="220" w:after="100"/>
        <w:rPr>
          <w:color w:val="E36C0A" w:themeColor="accent6" w:themeShade="BF"/>
        </w:rPr>
      </w:pPr>
      <w:r w:rsidRPr="001C109C">
        <w:rPr>
          <w:rFonts w:ascii="Calibri" w:hAnsi="Calibri"/>
          <w:color w:val="E36C0A" w:themeColor="accent6" w:themeShade="BF"/>
          <w:sz w:val="29"/>
        </w:rPr>
        <w:t>Consultant Qualifications</w:t>
      </w:r>
    </w:p>
    <w:p w14:paraId="6F49D1A1" w14:textId="77777777" w:rsidR="001728CA" w:rsidRDefault="001728CA" w:rsidP="001728CA">
      <w:pPr>
        <w:tabs>
          <w:tab w:val="num" w:pos="720"/>
        </w:tabs>
        <w:spacing w:after="70"/>
        <w:ind w:left="720" w:hanging="360"/>
      </w:pPr>
      <w:r>
        <w:rPr>
          <w:color w:val="1F1F1F"/>
          <w:sz w:val="21"/>
        </w:rPr>
        <w:t xml:space="preserve">Advanced </w:t>
      </w:r>
      <w:proofErr w:type="gramStart"/>
      <w:r>
        <w:rPr>
          <w:color w:val="1F1F1F"/>
          <w:sz w:val="21"/>
        </w:rPr>
        <w:t>degree</w:t>
      </w:r>
      <w:proofErr w:type="gramEnd"/>
      <w:r>
        <w:rPr>
          <w:color w:val="1F1F1F"/>
          <w:sz w:val="21"/>
        </w:rPr>
        <w:t xml:space="preserve"> in gender studies, public health, social work, psychology, law, human rights, development studies or a related field; a relevant first degree with substantial specialist experience may be accepted.</w:t>
      </w:r>
    </w:p>
    <w:p w14:paraId="7DFC0E10" w14:textId="77777777" w:rsidR="001728CA" w:rsidRDefault="001728CA" w:rsidP="001728CA">
      <w:pPr>
        <w:tabs>
          <w:tab w:val="num" w:pos="720"/>
        </w:tabs>
        <w:spacing w:after="70"/>
        <w:ind w:left="720" w:hanging="360"/>
      </w:pPr>
      <w:r>
        <w:rPr>
          <w:color w:val="1F1F1F"/>
          <w:sz w:val="21"/>
        </w:rPr>
        <w:t>At least five years of relevant experience in GBV/VAWG response, survivor-</w:t>
      </w:r>
      <w:proofErr w:type="spellStart"/>
      <w:r>
        <w:rPr>
          <w:color w:val="1F1F1F"/>
          <w:sz w:val="21"/>
        </w:rPr>
        <w:t>centred</w:t>
      </w:r>
      <w:proofErr w:type="spellEnd"/>
      <w:r>
        <w:rPr>
          <w:color w:val="1F1F1F"/>
          <w:sz w:val="21"/>
        </w:rPr>
        <w:t xml:space="preserve"> services, safeguarding, access to justice or closely related work.</w:t>
      </w:r>
    </w:p>
    <w:p w14:paraId="49B47053" w14:textId="77777777" w:rsidR="001728CA" w:rsidRDefault="001728CA" w:rsidP="001728CA">
      <w:pPr>
        <w:tabs>
          <w:tab w:val="num" w:pos="720"/>
        </w:tabs>
        <w:spacing w:after="70"/>
        <w:ind w:left="720" w:hanging="360"/>
      </w:pPr>
      <w:r>
        <w:rPr>
          <w:color w:val="1F1F1F"/>
          <w:sz w:val="21"/>
        </w:rPr>
        <w:t>Demonstrated experience developing competency-based curricula, manuals, facilitator guides, slides and assessment tools for adult professionals.</w:t>
      </w:r>
    </w:p>
    <w:p w14:paraId="2A460B60" w14:textId="77777777" w:rsidR="001728CA" w:rsidRDefault="001728CA" w:rsidP="001728CA">
      <w:pPr>
        <w:tabs>
          <w:tab w:val="num" w:pos="720"/>
        </w:tabs>
        <w:spacing w:after="70"/>
        <w:ind w:left="720" w:hanging="360"/>
      </w:pPr>
      <w:r>
        <w:rPr>
          <w:color w:val="1F1F1F"/>
          <w:sz w:val="21"/>
        </w:rPr>
        <w:t>Strong knowledge of VAWG, FGM/C, child marriage, first-line support, consent, confidentiality, referral and safe documentation, with experience engaging health/social and police/justice actors.</w:t>
      </w:r>
    </w:p>
    <w:p w14:paraId="5C2F38F1" w14:textId="77777777" w:rsidR="001728CA" w:rsidRDefault="001728CA" w:rsidP="001728CA">
      <w:pPr>
        <w:tabs>
          <w:tab w:val="num" w:pos="720"/>
        </w:tabs>
        <w:spacing w:after="70"/>
        <w:ind w:left="720" w:hanging="360"/>
      </w:pPr>
      <w:r>
        <w:rPr>
          <w:color w:val="1F1F1F"/>
          <w:sz w:val="21"/>
        </w:rPr>
        <w:t>Practical understanding of survivor-sensitive police, prosecution and judicial processes, access to justice, evidence/documentation boundaries and prevention of secondary victimization.</w:t>
      </w:r>
    </w:p>
    <w:p w14:paraId="1AA851F1" w14:textId="77777777" w:rsidR="001728CA" w:rsidRDefault="001728CA" w:rsidP="001728CA">
      <w:pPr>
        <w:tabs>
          <w:tab w:val="num" w:pos="720"/>
        </w:tabs>
        <w:spacing w:after="70"/>
        <w:ind w:left="720" w:hanging="360"/>
      </w:pPr>
      <w:r>
        <w:rPr>
          <w:color w:val="1F1F1F"/>
          <w:sz w:val="21"/>
        </w:rPr>
        <w:t>Knowledge of the Somaliland/Somali context and ability to adapt international guidance to local institutions; excellent written English and commitment to professional ethics.</w:t>
      </w:r>
    </w:p>
    <w:p w14:paraId="465C3C9A" w14:textId="77777777" w:rsidR="001728CA" w:rsidRDefault="001728CA" w:rsidP="001728CA">
      <w:pPr>
        <w:tabs>
          <w:tab w:val="num" w:pos="720"/>
        </w:tabs>
        <w:spacing w:after="70"/>
        <w:ind w:left="720" w:hanging="360"/>
      </w:pPr>
      <w:r>
        <w:rPr>
          <w:color w:val="1F1F1F"/>
          <w:sz w:val="21"/>
        </w:rPr>
        <w:lastRenderedPageBreak/>
        <w:t>Demonstrated commitment to safeguarding, confidentiality, non-discrimination and constructive response to technical review feedback.</w:t>
      </w:r>
    </w:p>
    <w:p w14:paraId="5B8DC6AC" w14:textId="77777777" w:rsidR="001728CA" w:rsidRPr="001C109C" w:rsidRDefault="001728CA" w:rsidP="001728CA">
      <w:pPr>
        <w:pStyle w:val="Heading1"/>
        <w:spacing w:before="220" w:after="100"/>
        <w:rPr>
          <w:color w:val="E36C0A" w:themeColor="accent6" w:themeShade="BF"/>
        </w:rPr>
      </w:pPr>
      <w:r w:rsidRPr="001C109C">
        <w:rPr>
          <w:rFonts w:ascii="Calibri" w:hAnsi="Calibri"/>
          <w:color w:val="E36C0A" w:themeColor="accent6" w:themeShade="BF"/>
          <w:sz w:val="29"/>
        </w:rPr>
        <w:t>Application and Evaluation</w:t>
      </w:r>
    </w:p>
    <w:p w14:paraId="690B8F72" w14:textId="77777777" w:rsidR="001728CA" w:rsidRDefault="001728CA" w:rsidP="001728CA">
      <w:r>
        <w:rPr>
          <w:color w:val="1F1F1F"/>
          <w:sz w:val="21"/>
        </w:rPr>
        <w:t>Applicants must submit the following:</w:t>
      </w:r>
    </w:p>
    <w:p w14:paraId="7B8AF5E2" w14:textId="77777777" w:rsidR="001728CA" w:rsidRDefault="001728CA" w:rsidP="001728CA">
      <w:pPr>
        <w:tabs>
          <w:tab w:val="num" w:pos="720"/>
        </w:tabs>
        <w:spacing w:after="70"/>
        <w:ind w:left="720" w:hanging="360"/>
      </w:pPr>
      <w:r>
        <w:rPr>
          <w:color w:val="1F1F1F"/>
          <w:sz w:val="21"/>
        </w:rPr>
        <w:t>A concise technical proposal demonstrating understanding of the assignment, methodology, quality-assurance approach and proposed 10-day workplan.</w:t>
      </w:r>
    </w:p>
    <w:p w14:paraId="1D07C767" w14:textId="77777777" w:rsidR="001728CA" w:rsidRDefault="001728CA" w:rsidP="001728CA">
      <w:pPr>
        <w:tabs>
          <w:tab w:val="num" w:pos="720"/>
        </w:tabs>
        <w:spacing w:after="70"/>
        <w:ind w:left="720" w:hanging="360"/>
      </w:pPr>
      <w:r>
        <w:rPr>
          <w:color w:val="1F1F1F"/>
          <w:sz w:val="21"/>
        </w:rPr>
        <w:t>A financial proposal showing the total professional fee, applicable taxes and any other costs.</w:t>
      </w:r>
    </w:p>
    <w:p w14:paraId="4E798E43" w14:textId="77777777" w:rsidR="001728CA" w:rsidRDefault="001728CA" w:rsidP="001728CA">
      <w:pPr>
        <w:tabs>
          <w:tab w:val="num" w:pos="720"/>
        </w:tabs>
        <w:spacing w:after="70"/>
        <w:ind w:left="720" w:hanging="360"/>
      </w:pPr>
      <w:r>
        <w:rPr>
          <w:color w:val="1F1F1F"/>
          <w:sz w:val="21"/>
        </w:rPr>
        <w:t>An updated CV highlighting relevant GBV/VAWG, curriculum-development and multi-sectoral assignments.</w:t>
      </w:r>
    </w:p>
    <w:p w14:paraId="285383FF" w14:textId="77777777" w:rsidR="001728CA" w:rsidRDefault="001728CA" w:rsidP="001728CA">
      <w:pPr>
        <w:tabs>
          <w:tab w:val="num" w:pos="720"/>
        </w:tabs>
        <w:spacing w:after="70"/>
        <w:ind w:left="720" w:hanging="360"/>
      </w:pPr>
      <w:r>
        <w:rPr>
          <w:color w:val="1F1F1F"/>
          <w:sz w:val="21"/>
        </w:rPr>
        <w:t>At least one comparable GBV/VAWG curriculum, training manual or facilitator guide, with confidential information removed.</w:t>
      </w:r>
    </w:p>
    <w:p w14:paraId="26FB9771" w14:textId="77777777" w:rsidR="001728CA" w:rsidRDefault="001728CA" w:rsidP="001728CA">
      <w:pPr>
        <w:tabs>
          <w:tab w:val="num" w:pos="720"/>
        </w:tabs>
        <w:spacing w:after="70"/>
        <w:ind w:left="720" w:hanging="360"/>
      </w:pPr>
      <w:r>
        <w:rPr>
          <w:color w:val="1F1F1F"/>
          <w:sz w:val="21"/>
        </w:rPr>
        <w:t>Contact details for at least two recent professional references.</w:t>
      </w:r>
    </w:p>
    <w:p w14:paraId="1CEDA0AC" w14:textId="77777777" w:rsidR="001728CA" w:rsidRDefault="001728CA" w:rsidP="001728CA">
      <w:pPr>
        <w:tabs>
          <w:tab w:val="num" w:pos="720"/>
        </w:tabs>
        <w:spacing w:after="70"/>
        <w:ind w:left="720" w:hanging="360"/>
      </w:pPr>
      <w:r>
        <w:rPr>
          <w:color w:val="1F1F1F"/>
          <w:sz w:val="21"/>
        </w:rPr>
        <w:t>Declarations of availability and compliance with safeguarding, confidentiality and conflict-of-interest requirements.</w:t>
      </w:r>
    </w:p>
    <w:p w14:paraId="6339990F" w14:textId="77777777" w:rsidR="001728CA" w:rsidRDefault="001728CA" w:rsidP="001728CA">
      <w:r>
        <w:rPr>
          <w:color w:val="1F1F1F"/>
          <w:sz w:val="21"/>
        </w:rPr>
        <w:t>Indicative evaluation: relevant qualifications and technical experience 25%; curriculum-development experience 20%; methodology and workplan 20%; contextual and multi-sectoral experience 10%; and financial proposal/value for money 25%, subject to approved Somaliland Y-PEER procurement procedures.</w:t>
      </w:r>
    </w:p>
    <w:p w14:paraId="33B1C598" w14:textId="77777777" w:rsidR="001728CA" w:rsidRPr="001C109C" w:rsidRDefault="001728CA" w:rsidP="001728CA">
      <w:pPr>
        <w:pStyle w:val="Heading1"/>
        <w:spacing w:before="220" w:after="100"/>
        <w:rPr>
          <w:color w:val="E36C0A" w:themeColor="accent6" w:themeShade="BF"/>
        </w:rPr>
      </w:pPr>
      <w:r w:rsidRPr="001C109C">
        <w:rPr>
          <w:rFonts w:ascii="Calibri" w:hAnsi="Calibri"/>
          <w:color w:val="E36C0A" w:themeColor="accent6" w:themeShade="BF"/>
          <w:sz w:val="29"/>
        </w:rPr>
        <w:t>Ownership, References and Administrative Information</w:t>
      </w:r>
    </w:p>
    <w:p w14:paraId="45F61656" w14:textId="77777777" w:rsidR="001728CA" w:rsidRDefault="001728CA" w:rsidP="001728CA">
      <w:r>
        <w:rPr>
          <w:color w:val="1F1F1F"/>
          <w:sz w:val="21"/>
        </w:rPr>
        <w:t>All original materials produced under the consultancy will belong to Somaliland Y-PEER, subject to properly identified pre-existing third-party rights. The consultant may not publish, reuse or disclose the package or project information without written authorization and must cite all sources.</w:t>
      </w:r>
    </w:p>
    <w:p w14:paraId="0CC3AAFA" w14:textId="77777777" w:rsidR="001728CA" w:rsidRDefault="001728CA" w:rsidP="001728CA">
      <w:r>
        <w:rPr>
          <w:color w:val="1F1F1F"/>
          <w:sz w:val="21"/>
        </w:rPr>
        <w:t>The package should draw on recognized and current sources, including:</w:t>
      </w:r>
    </w:p>
    <w:p w14:paraId="4982E21B" w14:textId="77777777" w:rsidR="001728CA" w:rsidRDefault="001728CA" w:rsidP="001728CA">
      <w:pPr>
        <w:tabs>
          <w:tab w:val="num" w:pos="720"/>
        </w:tabs>
        <w:spacing w:after="70"/>
        <w:ind w:left="720" w:hanging="360"/>
      </w:pPr>
      <w:r>
        <w:rPr>
          <w:color w:val="1F1F1F"/>
          <w:sz w:val="21"/>
        </w:rPr>
        <w:t>WHO guidance on caring for women subjected to violence and survivor-</w:t>
      </w:r>
      <w:proofErr w:type="spellStart"/>
      <w:r>
        <w:rPr>
          <w:color w:val="1F1F1F"/>
          <w:sz w:val="21"/>
        </w:rPr>
        <w:t>centred</w:t>
      </w:r>
      <w:proofErr w:type="spellEnd"/>
      <w:r>
        <w:rPr>
          <w:color w:val="1F1F1F"/>
          <w:sz w:val="21"/>
        </w:rPr>
        <w:t xml:space="preserve"> first-line support using LIVES.</w:t>
      </w:r>
    </w:p>
    <w:p w14:paraId="3D2902DF" w14:textId="77777777" w:rsidR="001728CA" w:rsidRDefault="001728CA" w:rsidP="001728CA">
      <w:pPr>
        <w:tabs>
          <w:tab w:val="num" w:pos="720"/>
        </w:tabs>
        <w:spacing w:after="70"/>
        <w:ind w:left="720" w:hanging="360"/>
      </w:pPr>
      <w:r>
        <w:rPr>
          <w:color w:val="1F1F1F"/>
          <w:sz w:val="21"/>
        </w:rPr>
        <w:t>Interagency GBV Case Management Guidelines and relevant training tools.</w:t>
      </w:r>
    </w:p>
    <w:p w14:paraId="695FEF6A" w14:textId="77777777" w:rsidR="001728CA" w:rsidRDefault="001728CA" w:rsidP="001728CA">
      <w:pPr>
        <w:tabs>
          <w:tab w:val="num" w:pos="720"/>
        </w:tabs>
        <w:spacing w:after="70"/>
        <w:ind w:left="720" w:hanging="360"/>
      </w:pPr>
      <w:r>
        <w:rPr>
          <w:color w:val="1F1F1F"/>
          <w:sz w:val="21"/>
        </w:rPr>
        <w:t>Relevant UNFPA guidance on survivor-</w:t>
      </w:r>
      <w:proofErr w:type="spellStart"/>
      <w:r>
        <w:rPr>
          <w:color w:val="1F1F1F"/>
          <w:sz w:val="21"/>
        </w:rPr>
        <w:t>centred</w:t>
      </w:r>
      <w:proofErr w:type="spellEnd"/>
      <w:r>
        <w:rPr>
          <w:color w:val="1F1F1F"/>
          <w:sz w:val="21"/>
        </w:rPr>
        <w:t xml:space="preserve"> response, confidentiality and safe information-sharing.</w:t>
      </w:r>
    </w:p>
    <w:p w14:paraId="20709D83" w14:textId="77777777" w:rsidR="001728CA" w:rsidRDefault="001728CA" w:rsidP="001728CA">
      <w:pPr>
        <w:tabs>
          <w:tab w:val="num" w:pos="720"/>
        </w:tabs>
        <w:spacing w:after="70"/>
        <w:ind w:left="720" w:hanging="360"/>
      </w:pPr>
      <w:r>
        <w:rPr>
          <w:color w:val="1F1F1F"/>
          <w:sz w:val="21"/>
        </w:rPr>
        <w:t>The approved project referral pathway and Somaliland Y-PEER safeguarding requirements.</w:t>
      </w:r>
    </w:p>
    <w:p w14:paraId="1B576290" w14:textId="77777777" w:rsidR="001728CA" w:rsidRDefault="001728CA" w:rsidP="001728CA">
      <w:pPr>
        <w:tabs>
          <w:tab w:val="num" w:pos="720"/>
        </w:tabs>
        <w:spacing w:after="70"/>
        <w:ind w:left="720" w:hanging="360"/>
      </w:pPr>
      <w:r>
        <w:rPr>
          <w:color w:val="1F1F1F"/>
          <w:sz w:val="21"/>
        </w:rPr>
        <w:t>Verified Somaliland laws, procedures, institutional mandates and applicable professional standards.</w:t>
      </w:r>
    </w:p>
    <w:tbl>
      <w:tblPr>
        <w:tblW w:w="9024" w:type="dxa"/>
        <w:tblInd w:w="120" w:type="dxa"/>
        <w:tblBorders>
          <w:top w:val="single" w:sz="5" w:space="0" w:color="C9D2DA"/>
          <w:left w:val="single" w:sz="5" w:space="0" w:color="C9D2DA"/>
          <w:bottom w:val="single" w:sz="5" w:space="0" w:color="C9D2DA"/>
          <w:right w:val="single" w:sz="5" w:space="0" w:color="C9D2DA"/>
          <w:insideH w:val="single" w:sz="5" w:space="0" w:color="C9D2DA"/>
          <w:insideV w:val="single" w:sz="5" w:space="0" w:color="C9D2DA"/>
        </w:tblBorders>
        <w:tblLayout w:type="fixed"/>
        <w:tblLook w:val="04A0" w:firstRow="1" w:lastRow="0" w:firstColumn="1" w:lastColumn="0" w:noHBand="0" w:noVBand="1"/>
      </w:tblPr>
      <w:tblGrid>
        <w:gridCol w:w="2300"/>
        <w:gridCol w:w="6724"/>
      </w:tblGrid>
      <w:tr w:rsidR="001728CA" w14:paraId="3A45261A" w14:textId="77777777" w:rsidTr="006307B6">
        <w:tc>
          <w:tcPr>
            <w:tcW w:w="2300" w:type="dxa"/>
            <w:tcMar>
              <w:top w:w="80" w:type="dxa"/>
              <w:left w:w="120" w:type="dxa"/>
              <w:bottom w:w="80" w:type="dxa"/>
              <w:right w:w="120" w:type="dxa"/>
            </w:tcMar>
            <w:vAlign w:val="center"/>
          </w:tcPr>
          <w:p w14:paraId="026CFC18" w14:textId="77777777" w:rsidR="001728CA" w:rsidRPr="001C109C" w:rsidRDefault="001728CA" w:rsidP="006307B6">
            <w:pPr>
              <w:jc w:val="center"/>
              <w:rPr>
                <w:b/>
                <w:bCs/>
                <w:color w:val="E36C0A" w:themeColor="accent6" w:themeShade="BF"/>
              </w:rPr>
            </w:pPr>
            <w:r w:rsidRPr="001C109C">
              <w:rPr>
                <w:b/>
                <w:bCs/>
                <w:color w:val="E36C0A" w:themeColor="accent6" w:themeShade="BF"/>
              </w:rPr>
              <w:t>Application deadline</w:t>
            </w:r>
          </w:p>
        </w:tc>
        <w:tc>
          <w:tcPr>
            <w:tcW w:w="6724" w:type="dxa"/>
            <w:tcMar>
              <w:top w:w="80" w:type="dxa"/>
              <w:left w:w="120" w:type="dxa"/>
              <w:bottom w:w="80" w:type="dxa"/>
              <w:right w:w="120" w:type="dxa"/>
            </w:tcMar>
            <w:vAlign w:val="center"/>
          </w:tcPr>
          <w:p w14:paraId="2A0FC6AA" w14:textId="77777777" w:rsidR="001728CA" w:rsidRPr="001C109C" w:rsidRDefault="001728CA" w:rsidP="006307B6">
            <w:pPr>
              <w:jc w:val="center"/>
              <w:rPr>
                <w:b/>
                <w:bCs/>
                <w:color w:val="E36C0A" w:themeColor="accent6" w:themeShade="BF"/>
              </w:rPr>
            </w:pPr>
            <w:r w:rsidRPr="001C109C">
              <w:rPr>
                <w:b/>
                <w:bCs/>
                <w:color w:val="E36C0A" w:themeColor="accent6" w:themeShade="BF"/>
              </w:rPr>
              <w:t>31st Aug 2026</w:t>
            </w:r>
          </w:p>
        </w:tc>
      </w:tr>
      <w:tr w:rsidR="001728CA" w14:paraId="55EC0D9B" w14:textId="77777777" w:rsidTr="006307B6">
        <w:tc>
          <w:tcPr>
            <w:tcW w:w="2300" w:type="dxa"/>
            <w:tcMar>
              <w:top w:w="80" w:type="dxa"/>
              <w:left w:w="120" w:type="dxa"/>
              <w:bottom w:w="80" w:type="dxa"/>
              <w:right w:w="120" w:type="dxa"/>
            </w:tcMar>
            <w:vAlign w:val="center"/>
          </w:tcPr>
          <w:p w14:paraId="09D382B9" w14:textId="77777777" w:rsidR="001728CA" w:rsidRPr="001C109C" w:rsidRDefault="001728CA" w:rsidP="006307B6">
            <w:pPr>
              <w:jc w:val="center"/>
              <w:rPr>
                <w:b/>
                <w:bCs/>
                <w:color w:val="E36C0A" w:themeColor="accent6" w:themeShade="BF"/>
              </w:rPr>
            </w:pPr>
            <w:r w:rsidRPr="001C109C">
              <w:rPr>
                <w:b/>
                <w:bCs/>
                <w:color w:val="E36C0A" w:themeColor="accent6" w:themeShade="BF"/>
              </w:rPr>
              <w:t>Submission address</w:t>
            </w:r>
          </w:p>
        </w:tc>
        <w:tc>
          <w:tcPr>
            <w:tcW w:w="6724" w:type="dxa"/>
            <w:tcMar>
              <w:top w:w="80" w:type="dxa"/>
              <w:left w:w="120" w:type="dxa"/>
              <w:bottom w:w="80" w:type="dxa"/>
              <w:right w:w="120" w:type="dxa"/>
            </w:tcMar>
            <w:vAlign w:val="center"/>
          </w:tcPr>
          <w:p w14:paraId="124AAD6E" w14:textId="77777777" w:rsidR="001728CA" w:rsidRPr="001C109C" w:rsidRDefault="001728CA" w:rsidP="006307B6">
            <w:pPr>
              <w:jc w:val="center"/>
              <w:rPr>
                <w:b/>
                <w:bCs/>
                <w:color w:val="E36C0A" w:themeColor="accent6" w:themeShade="BF"/>
              </w:rPr>
            </w:pPr>
            <w:r w:rsidRPr="001C109C">
              <w:rPr>
                <w:b/>
                <w:bCs/>
                <w:color w:val="E36C0A" w:themeColor="accent6" w:themeShade="BF"/>
              </w:rPr>
              <w:t>Consultant to Develop VAWG and Harmful Practices Training Content for Service Providers</w:t>
            </w:r>
          </w:p>
        </w:tc>
      </w:tr>
      <w:tr w:rsidR="001728CA" w14:paraId="024283C8" w14:textId="77777777" w:rsidTr="006307B6">
        <w:tc>
          <w:tcPr>
            <w:tcW w:w="2300" w:type="dxa"/>
            <w:tcMar>
              <w:top w:w="80" w:type="dxa"/>
              <w:left w:w="120" w:type="dxa"/>
              <w:bottom w:w="80" w:type="dxa"/>
              <w:right w:w="120" w:type="dxa"/>
            </w:tcMar>
            <w:vAlign w:val="center"/>
          </w:tcPr>
          <w:p w14:paraId="5BD2D96F" w14:textId="77777777" w:rsidR="001728CA" w:rsidRPr="001C109C" w:rsidRDefault="001728CA" w:rsidP="006307B6">
            <w:pPr>
              <w:jc w:val="center"/>
              <w:rPr>
                <w:b/>
                <w:bCs/>
                <w:color w:val="E36C0A" w:themeColor="accent6" w:themeShade="BF"/>
              </w:rPr>
            </w:pPr>
            <w:r w:rsidRPr="001C109C">
              <w:rPr>
                <w:b/>
                <w:bCs/>
                <w:color w:val="E36C0A" w:themeColor="accent6" w:themeShade="BF"/>
              </w:rPr>
              <w:t>Expected start date</w:t>
            </w:r>
          </w:p>
        </w:tc>
        <w:tc>
          <w:tcPr>
            <w:tcW w:w="6724" w:type="dxa"/>
            <w:tcMar>
              <w:top w:w="80" w:type="dxa"/>
              <w:left w:w="120" w:type="dxa"/>
              <w:bottom w:w="80" w:type="dxa"/>
              <w:right w:w="120" w:type="dxa"/>
            </w:tcMar>
            <w:vAlign w:val="center"/>
          </w:tcPr>
          <w:p w14:paraId="42EC6744" w14:textId="77777777" w:rsidR="001728CA" w:rsidRPr="001C109C" w:rsidRDefault="001728CA" w:rsidP="006307B6">
            <w:pPr>
              <w:jc w:val="center"/>
              <w:rPr>
                <w:b/>
                <w:bCs/>
                <w:color w:val="E36C0A" w:themeColor="accent6" w:themeShade="BF"/>
              </w:rPr>
            </w:pPr>
            <w:r w:rsidRPr="001C109C">
              <w:rPr>
                <w:b/>
                <w:bCs/>
                <w:color w:val="E36C0A" w:themeColor="accent6" w:themeShade="BF"/>
              </w:rPr>
              <w:t>ASAP after we complete the selection process</w:t>
            </w:r>
          </w:p>
        </w:tc>
      </w:tr>
    </w:tbl>
    <w:p w14:paraId="4CC64E98" w14:textId="77777777" w:rsidR="001728CA" w:rsidRDefault="001728CA" w:rsidP="001728CA"/>
    <w:p w14:paraId="6A6E674B" w14:textId="77777777" w:rsidR="001728CA" w:rsidRDefault="001728CA" w:rsidP="001728CA"/>
    <w:sectPr w:rsidR="001728CA" w:rsidSect="009E3972">
      <w:pgSz w:w="11906" w:h="16838" w:code="9"/>
      <w:pgMar w:top="1152" w:right="1440" w:bottom="1152" w:left="1440" w:header="720" w:footer="708" w:gutter="0"/>
      <w:pgBorders w:display="notFirstPage" w:offsetFrom="page">
        <w:top w:val="single" w:sz="8" w:space="24" w:color="E36C0A" w:themeColor="accent6" w:themeShade="BF"/>
        <w:left w:val="single" w:sz="8" w:space="24" w:color="E36C0A" w:themeColor="accent6" w:themeShade="BF"/>
        <w:bottom w:val="single" w:sz="8" w:space="24" w:color="E36C0A" w:themeColor="accent6" w:themeShade="BF"/>
        <w:right w:val="single" w:sz="8" w:space="24" w:color="E36C0A" w:themeColor="accent6" w:themeShade="BF"/>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E49BA" w14:textId="77777777" w:rsidR="008A6F4D" w:rsidRDefault="008A6F4D">
      <w:pPr>
        <w:spacing w:after="0" w:line="240" w:lineRule="auto"/>
      </w:pPr>
      <w:r>
        <w:separator/>
      </w:r>
    </w:p>
  </w:endnote>
  <w:endnote w:type="continuationSeparator" w:id="0">
    <w:p w14:paraId="0E10819A" w14:textId="77777777" w:rsidR="008A6F4D" w:rsidRDefault="008A6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646564"/>
      <w:docPartObj>
        <w:docPartGallery w:val="Page Numbers (Bottom of Page)"/>
        <w:docPartUnique/>
      </w:docPartObj>
    </w:sdtPr>
    <w:sdtEndPr>
      <w:rPr>
        <w:noProof/>
      </w:rPr>
    </w:sdtEndPr>
    <w:sdtContent>
      <w:p w14:paraId="10707FE0" w14:textId="7333A853" w:rsidR="009E3972" w:rsidRDefault="009E39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CDC3C1" w14:textId="1FCD7762" w:rsidR="00672CFB" w:rsidRPr="009E3972" w:rsidRDefault="009E3972" w:rsidP="009E3972">
    <w:pPr>
      <w:pStyle w:val="Footer"/>
      <w:tabs>
        <w:tab w:val="clear" w:pos="4680"/>
        <w:tab w:val="clear" w:pos="9360"/>
        <w:tab w:val="left" w:pos="7440"/>
      </w:tabs>
    </w:pPr>
    <w:r>
      <w:rPr>
        <w:noProof/>
      </w:rPr>
      <w:drawing>
        <wp:anchor distT="0" distB="0" distL="114300" distR="114300" simplePos="0" relativeHeight="251659264" behindDoc="0" locked="0" layoutInCell="1" allowOverlap="1" wp14:anchorId="3643D001" wp14:editId="50E2DEDD">
          <wp:simplePos x="0" y="0"/>
          <wp:positionH relativeFrom="column">
            <wp:posOffset>-514350</wp:posOffset>
          </wp:positionH>
          <wp:positionV relativeFrom="paragraph">
            <wp:posOffset>148590</wp:posOffset>
          </wp:positionV>
          <wp:extent cx="361950" cy="113777"/>
          <wp:effectExtent l="0" t="0" r="0" b="635"/>
          <wp:wrapNone/>
          <wp:docPr id="6226152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0540" name="Picture 146710540"/>
                  <pic:cNvPicPr/>
                </pic:nvPicPr>
                <pic:blipFill rotWithShape="1">
                  <a:blip r:embed="rId1"/>
                  <a:srcRect r="22917"/>
                  <a:stretch>
                    <a:fillRect/>
                  </a:stretch>
                </pic:blipFill>
                <pic:spPr bwMode="auto">
                  <a:xfrm>
                    <a:off x="0" y="0"/>
                    <a:ext cx="361950" cy="1137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9A97" w14:textId="31216CD0" w:rsidR="00E712F5" w:rsidRDefault="00E712F5" w:rsidP="00E712F5">
    <w:pPr>
      <w:pStyle w:val="Footer"/>
      <w:tabs>
        <w:tab w:val="clear" w:pos="4680"/>
        <w:tab w:val="clear" w:pos="9360"/>
        <w:tab w:val="left" w:pos="1695"/>
      </w:tabs>
      <w:jc w:val="center"/>
    </w:pPr>
  </w:p>
  <w:p w14:paraId="1510CDCF" w14:textId="472B6F74" w:rsidR="009E3972" w:rsidRDefault="009E3972" w:rsidP="00E712F5">
    <w:pPr>
      <w:pStyle w:val="Footer"/>
      <w:tabs>
        <w:tab w:val="clear" w:pos="4680"/>
        <w:tab w:val="clear" w:pos="9360"/>
        <w:tab w:val="left" w:pos="1695"/>
      </w:tabs>
      <w:jc w:val="center"/>
    </w:pPr>
    <w:r>
      <w:rPr>
        <w:noProof/>
      </w:rPr>
      <mc:AlternateContent>
        <mc:Choice Requires="wps">
          <w:drawing>
            <wp:anchor distT="0" distB="0" distL="114300" distR="114300" simplePos="0" relativeHeight="251661312" behindDoc="1" locked="0" layoutInCell="1" allowOverlap="1" wp14:anchorId="563133E1" wp14:editId="76F40D85">
              <wp:simplePos x="0" y="0"/>
              <wp:positionH relativeFrom="margin">
                <wp:posOffset>-1114425</wp:posOffset>
              </wp:positionH>
              <wp:positionV relativeFrom="margin">
                <wp:posOffset>9231630</wp:posOffset>
              </wp:positionV>
              <wp:extent cx="8067675" cy="847725"/>
              <wp:effectExtent l="57150" t="19050" r="85725" b="104775"/>
              <wp:wrapNone/>
              <wp:docPr id="272258415" name="Rectangle 1"/>
              <wp:cNvGraphicFramePr/>
              <a:graphic xmlns:a="http://schemas.openxmlformats.org/drawingml/2006/main">
                <a:graphicData uri="http://schemas.microsoft.com/office/word/2010/wordprocessingShape">
                  <wps:wsp>
                    <wps:cNvSpPr/>
                    <wps:spPr>
                      <a:xfrm>
                        <a:off x="0" y="0"/>
                        <a:ext cx="8067675" cy="847725"/>
                      </a:xfrm>
                      <a:prstGeom prst="rect">
                        <a:avLst/>
                      </a:prstGeom>
                      <a:solidFill>
                        <a:schemeClr val="accent6">
                          <a:lumMod val="40000"/>
                          <a:lumOff val="60000"/>
                        </a:schemeClr>
                      </a:solidFill>
                    </wps:spPr>
                    <wps:style>
                      <a:lnRef idx="1">
                        <a:schemeClr val="accent6"/>
                      </a:lnRef>
                      <a:fillRef idx="3">
                        <a:schemeClr val="accent6"/>
                      </a:fillRef>
                      <a:effectRef idx="2">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67FD2A" id="Rectangle 1" o:spid="_x0000_s1026" style="position:absolute;margin-left:-87.75pt;margin-top:726.9pt;width:635.25pt;height:66.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" fillcolor="#fbd4b4 [1305]" strokecolor="#f68c36 [3049]">
              <v:shadow on="t" color="black" opacity="22937f" origin=",.5" offset="0,.63889mm"/>
              <w10:wrap anchorx="margin" anchory="margin"/>
            </v:rect>
          </w:pict>
        </mc:Fallback>
      </mc:AlternateContent>
    </w:r>
    <w:hyperlink r:id="rId1" w:history="1">
      <w:r w:rsidR="00E712F5" w:rsidRPr="00A626F3">
        <w:rPr>
          <w:rStyle w:val="Hyperlink"/>
        </w:rPr>
        <w:t>info@ypeersom.org</w:t>
      </w:r>
    </w:hyperlink>
    <w:r w:rsidR="00E712F5">
      <w:t xml:space="preserve"> | </w:t>
    </w:r>
    <w:hyperlink r:id="rId2" w:history="1">
      <w:r w:rsidR="00E712F5" w:rsidRPr="00A626F3">
        <w:rPr>
          <w:rStyle w:val="Hyperlink"/>
        </w:rPr>
        <w:t>www.ypeersom.org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5AB0A" w14:textId="77777777" w:rsidR="008A6F4D" w:rsidRDefault="008A6F4D">
      <w:pPr>
        <w:spacing w:after="0" w:line="240" w:lineRule="auto"/>
      </w:pPr>
      <w:r>
        <w:separator/>
      </w:r>
    </w:p>
  </w:footnote>
  <w:footnote w:type="continuationSeparator" w:id="0">
    <w:p w14:paraId="58B44420" w14:textId="77777777" w:rsidR="008A6F4D" w:rsidRDefault="008A6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49657" w14:textId="68B4849F" w:rsidR="00672CFB" w:rsidRDefault="006073B8" w:rsidP="009E3972">
    <w:pPr>
      <w:pStyle w:val="Header"/>
      <w:tabs>
        <w:tab w:val="clear" w:pos="4680"/>
        <w:tab w:val="clear" w:pos="9360"/>
        <w:tab w:val="left" w:pos="4410"/>
        <w:tab w:val="left" w:pos="5220"/>
      </w:tabs>
    </w:pPr>
    <w:r>
      <w:ptab w:relativeTo="indent" w:alignment="center" w:leader="none"/>
    </w:r>
    <w:r w:rsidR="009E397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1634" w14:textId="422431CB" w:rsidR="009E3972" w:rsidRDefault="00D626FF" w:rsidP="009E3972">
    <w:pPr>
      <w:pStyle w:val="Header"/>
      <w:tabs>
        <w:tab w:val="clear" w:pos="4680"/>
        <w:tab w:val="clear" w:pos="9360"/>
        <w:tab w:val="center" w:pos="4513"/>
      </w:tabs>
    </w:pPr>
    <w:r>
      <w:rPr>
        <w:noProof/>
      </w:rPr>
      <mc:AlternateContent>
        <mc:Choice Requires="wps">
          <w:drawing>
            <wp:anchor distT="0" distB="0" distL="114300" distR="114300" simplePos="0" relativeHeight="251655168" behindDoc="1" locked="0" layoutInCell="1" allowOverlap="1" wp14:anchorId="64E09357" wp14:editId="01970F24">
              <wp:simplePos x="0" y="0"/>
              <wp:positionH relativeFrom="margin">
                <wp:posOffset>-1333500</wp:posOffset>
              </wp:positionH>
              <wp:positionV relativeFrom="margin">
                <wp:posOffset>-712470</wp:posOffset>
              </wp:positionV>
              <wp:extent cx="8067675" cy="752475"/>
              <wp:effectExtent l="57150" t="19050" r="85725" b="104775"/>
              <wp:wrapNone/>
              <wp:docPr id="2138407375" name="Rectangle 1"/>
              <wp:cNvGraphicFramePr/>
              <a:graphic xmlns:a="http://schemas.openxmlformats.org/drawingml/2006/main">
                <a:graphicData uri="http://schemas.microsoft.com/office/word/2010/wordprocessingShape">
                  <wps:wsp>
                    <wps:cNvSpPr/>
                    <wps:spPr>
                      <a:xfrm>
                        <a:off x="0" y="0"/>
                        <a:ext cx="8067675" cy="752475"/>
                      </a:xfrm>
                      <a:prstGeom prst="rect">
                        <a:avLst/>
                      </a:prstGeom>
                      <a:solidFill>
                        <a:schemeClr val="accent6">
                          <a:lumMod val="40000"/>
                          <a:lumOff val="60000"/>
                        </a:schemeClr>
                      </a:solidFill>
                    </wps:spPr>
                    <wps:style>
                      <a:lnRef idx="1">
                        <a:schemeClr val="accent6"/>
                      </a:lnRef>
                      <a:fillRef idx="3">
                        <a:schemeClr val="accent6"/>
                      </a:fillRef>
                      <a:effectRef idx="2">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342A3F" id="Rectangle 1" o:spid="_x0000_s1026" style="position:absolute;margin-left:-105pt;margin-top:-56.1pt;width:635.25pt;height:59.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" fillcolor="#fbd4b4 [1305]" strokecolor="#f68c36 [3049]">
              <v:shadow on="t" color="black" opacity="22937f" origin=",.5" offset="0,.63889mm"/>
              <w10:wrap anchorx="margin" anchory="margin"/>
            </v:rect>
          </w:pict>
        </mc:Fallback>
      </mc:AlternateContent>
    </w:r>
    <w:r w:rsidR="009E397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851889"/>
    <w:multiLevelType w:val="hybridMultilevel"/>
    <w:tmpl w:val="046CF9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5622CB9"/>
    <w:multiLevelType w:val="hybridMultilevel"/>
    <w:tmpl w:val="E24E7F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9890A1D"/>
    <w:multiLevelType w:val="hybridMultilevel"/>
    <w:tmpl w:val="4F0E52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94409E"/>
    <w:multiLevelType w:val="hybridMultilevel"/>
    <w:tmpl w:val="56FEC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320309"/>
    <w:multiLevelType w:val="hybridMultilevel"/>
    <w:tmpl w:val="298643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F1B5BB8"/>
    <w:multiLevelType w:val="hybridMultilevel"/>
    <w:tmpl w:val="E23E1D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9AE655C"/>
    <w:multiLevelType w:val="hybridMultilevel"/>
    <w:tmpl w:val="AA40E4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8170176"/>
    <w:multiLevelType w:val="hybridMultilevel"/>
    <w:tmpl w:val="5504E4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E306C6B"/>
    <w:multiLevelType w:val="hybridMultilevel"/>
    <w:tmpl w:val="105043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231EC0"/>
    <w:multiLevelType w:val="hybridMultilevel"/>
    <w:tmpl w:val="C89827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7D044FF"/>
    <w:multiLevelType w:val="hybridMultilevel"/>
    <w:tmpl w:val="795A0E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96062750">
    <w:abstractNumId w:val="8"/>
  </w:num>
  <w:num w:numId="2" w16cid:durableId="85081485">
    <w:abstractNumId w:val="6"/>
  </w:num>
  <w:num w:numId="3" w16cid:durableId="1441031128">
    <w:abstractNumId w:val="5"/>
  </w:num>
  <w:num w:numId="4" w16cid:durableId="943459306">
    <w:abstractNumId w:val="4"/>
  </w:num>
  <w:num w:numId="5" w16cid:durableId="1905019253">
    <w:abstractNumId w:val="7"/>
  </w:num>
  <w:num w:numId="6" w16cid:durableId="432166710">
    <w:abstractNumId w:val="3"/>
  </w:num>
  <w:num w:numId="7" w16cid:durableId="273294673">
    <w:abstractNumId w:val="2"/>
  </w:num>
  <w:num w:numId="8" w16cid:durableId="1544832208">
    <w:abstractNumId w:val="1"/>
  </w:num>
  <w:num w:numId="9" w16cid:durableId="483818157">
    <w:abstractNumId w:val="0"/>
  </w:num>
  <w:num w:numId="10" w16cid:durableId="1750350865">
    <w:abstractNumId w:val="12"/>
  </w:num>
  <w:num w:numId="11" w16cid:durableId="1778014939">
    <w:abstractNumId w:val="15"/>
  </w:num>
  <w:num w:numId="12" w16cid:durableId="122433931">
    <w:abstractNumId w:val="18"/>
  </w:num>
  <w:num w:numId="13" w16cid:durableId="512261548">
    <w:abstractNumId w:val="11"/>
  </w:num>
  <w:num w:numId="14" w16cid:durableId="431557174">
    <w:abstractNumId w:val="17"/>
  </w:num>
  <w:num w:numId="15" w16cid:durableId="1788235000">
    <w:abstractNumId w:val="9"/>
  </w:num>
  <w:num w:numId="16" w16cid:durableId="2032296355">
    <w:abstractNumId w:val="10"/>
  </w:num>
  <w:num w:numId="17" w16cid:durableId="1704020107">
    <w:abstractNumId w:val="14"/>
  </w:num>
  <w:num w:numId="18" w16cid:durableId="972977635">
    <w:abstractNumId w:val="16"/>
  </w:num>
  <w:num w:numId="19" w16cid:durableId="1669746206">
    <w:abstractNumId w:val="13"/>
  </w:num>
  <w:num w:numId="20" w16cid:durableId="146944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362"/>
    <w:rsid w:val="00034616"/>
    <w:rsid w:val="0006063C"/>
    <w:rsid w:val="000F0679"/>
    <w:rsid w:val="0015074B"/>
    <w:rsid w:val="001728CA"/>
    <w:rsid w:val="0029639D"/>
    <w:rsid w:val="002C2B62"/>
    <w:rsid w:val="00326F90"/>
    <w:rsid w:val="00397AEE"/>
    <w:rsid w:val="0058645B"/>
    <w:rsid w:val="006073B8"/>
    <w:rsid w:val="00672CFB"/>
    <w:rsid w:val="00881F39"/>
    <w:rsid w:val="008A6F4D"/>
    <w:rsid w:val="0097667E"/>
    <w:rsid w:val="009E3972"/>
    <w:rsid w:val="009F0D33"/>
    <w:rsid w:val="00AA1D8D"/>
    <w:rsid w:val="00B069EA"/>
    <w:rsid w:val="00B41687"/>
    <w:rsid w:val="00B47730"/>
    <w:rsid w:val="00B86C0B"/>
    <w:rsid w:val="00BD3F3A"/>
    <w:rsid w:val="00CB0664"/>
    <w:rsid w:val="00CF4A3B"/>
    <w:rsid w:val="00D5058E"/>
    <w:rsid w:val="00D626FF"/>
    <w:rsid w:val="00E251CC"/>
    <w:rsid w:val="00E712F5"/>
    <w:rsid w:val="00FC693F"/>
    <w:rsid w:val="00FE5B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7CF9E5"/>
  <w14:defaultImageDpi w14:val="300"/>
  <w15:docId w15:val="{1995E415-66AA-4CC5-91DF-F7A04CD0C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222222"/>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style>
  <w:style w:type="paragraph" w:styleId="ListBullet2">
    <w:name w:val="List Bullet 2"/>
    <w:basedOn w:val="Normal"/>
    <w:uiPriority w:val="99"/>
    <w:unhideWhenUsed/>
    <w:rsid w:val="00326F90"/>
    <w:pPr>
      <w:numPr>
        <w:numId w:val="2"/>
      </w:numPr>
      <w:spacing w:after="8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6073B8"/>
    <w:rPr>
      <w:color w:val="666666"/>
    </w:rPr>
  </w:style>
  <w:style w:type="character" w:styleId="Hyperlink">
    <w:name w:val="Hyperlink"/>
    <w:basedOn w:val="DefaultParagraphFont"/>
    <w:uiPriority w:val="99"/>
    <w:unhideWhenUsed/>
    <w:rsid w:val="00E712F5"/>
    <w:rPr>
      <w:color w:val="0000FF" w:themeColor="hyperlink"/>
      <w:u w:val="single"/>
    </w:rPr>
  </w:style>
  <w:style w:type="character" w:styleId="UnresolvedMention">
    <w:name w:val="Unresolved Mention"/>
    <w:basedOn w:val="DefaultParagraphFont"/>
    <w:uiPriority w:val="99"/>
    <w:semiHidden/>
    <w:unhideWhenUsed/>
    <w:rsid w:val="00E71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www.ypeersom.org" TargetMode="External"/><Relationship Id="rId1" Type="http://schemas.openxmlformats.org/officeDocument/2006/relationships/hyperlink" Target="mailto:info@ypeerso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1763</Words>
  <Characters>9702</Characters>
  <Application>Microsoft Office Word</Application>
  <DocSecurity>0</DocSecurity>
  <Lines>462</Lines>
  <Paragraphs>409</Paragraphs>
  <ScaleCrop>false</ScaleCrop>
  <HeadingPairs>
    <vt:vector size="2" baseType="variant">
      <vt:variant>
        <vt:lpstr>Title</vt:lpstr>
      </vt:variant>
      <vt:variant>
        <vt:i4>1</vt:i4>
      </vt:variant>
    </vt:vector>
  </HeadingPairs>
  <TitlesOfParts>
    <vt:vector size="1" baseType="lpstr">
      <vt:lpstr>ToR: Establishment and Foundational Training of Anti-VAWG Community Committees</vt:lpstr>
    </vt:vector>
  </TitlesOfParts>
  <Manager/>
  <Company/>
  <LinksUpToDate>false</LinksUpToDate>
  <CharactersWithSpaces>11056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 Establishment and Foundational Training of Anti-VAWG Community Committees</dc:title>
  <dc:subject>Activity 2.1.1.1</dc:subject>
  <dc:creator>Somaliland Y-PEER</dc:creator>
  <cp:keywords/>
  <dc:description>generated by python-docx</dc:description>
  <cp:lastModifiedBy>Abdiwahab  Hussein</cp:lastModifiedBy>
  <cp:revision>2</cp:revision>
  <dcterms:created xsi:type="dcterms:W3CDTF">2026-08-30T06:31:00Z</dcterms:created>
  <dcterms:modified xsi:type="dcterms:W3CDTF">2026-08-30T06:31:00Z</dcterms:modified>
  <cp:category/>
</cp:coreProperties>
</file>